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65CE" w14:textId="724F5F2F" w:rsidR="00832012" w:rsidRPr="00EE5416" w:rsidRDefault="00832012" w:rsidP="00EE5416">
      <w:pPr>
        <w:jc w:val="center"/>
        <w:rPr>
          <w:b/>
          <w:color w:val="538135" w:themeColor="accent6" w:themeShade="BF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C08CE6" wp14:editId="24EA5376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0345">
        <w:rPr>
          <w:b/>
          <w:noProof/>
          <w:color w:val="538135" w:themeColor="accent6" w:themeShade="BF"/>
          <w:lang w:eastAsia="en-GB"/>
        </w:rPr>
        <w:t xml:space="preserve">Old Buckenham High School </w:t>
      </w:r>
      <w:r>
        <w:rPr>
          <w:b/>
          <w:noProof/>
          <w:lang w:eastAsia="en-GB"/>
        </w:rPr>
        <w:t xml:space="preserve">| </w:t>
      </w:r>
      <w:r w:rsidRPr="00430345">
        <w:rPr>
          <w:b/>
          <w:noProof/>
          <w:color w:val="2E74B5" w:themeColor="accent1" w:themeShade="BF"/>
          <w:lang w:eastAsia="en-GB"/>
        </w:rPr>
        <w:t xml:space="preserve">Year 11 </w:t>
      </w:r>
      <w:r w:rsidR="00EE5416">
        <w:rPr>
          <w:b/>
          <w:noProof/>
          <w:color w:val="2E74B5" w:themeColor="accent1" w:themeShade="BF"/>
          <w:lang w:eastAsia="en-GB"/>
        </w:rPr>
        <w:t xml:space="preserve">– The Year Ahead </w:t>
      </w:r>
      <w:r w:rsidR="00EE5416">
        <w:rPr>
          <w:b/>
          <w:noProof/>
          <w:color w:val="000000" w:themeColor="text1"/>
          <w:lang w:eastAsia="en-GB"/>
        </w:rPr>
        <w:t xml:space="preserve">| </w:t>
      </w:r>
    </w:p>
    <w:p w14:paraId="7D966A45" w14:textId="1B6E8CAB" w:rsidR="00832012" w:rsidRPr="00832012" w:rsidRDefault="00AD20EF" w:rsidP="00EE5416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PHILOSOPHY AND 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559"/>
        <w:gridCol w:w="1984"/>
        <w:gridCol w:w="3657"/>
      </w:tblGrid>
      <w:tr w:rsidR="00EE5416" w:rsidRPr="00AD20EF" w14:paraId="4E289A1E" w14:textId="77777777" w:rsidTr="00EE5416">
        <w:tc>
          <w:tcPr>
            <w:tcW w:w="2091" w:type="dxa"/>
            <w:shd w:val="clear" w:color="auto" w:fill="D9D9D9" w:themeFill="background1" w:themeFillShade="D9"/>
          </w:tcPr>
          <w:p w14:paraId="0E77E27D" w14:textId="77777777" w:rsidR="00EE5416" w:rsidRPr="00AD20EF" w:rsidRDefault="00EE5416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14:paraId="28388DFC" w14:textId="77777777" w:rsidR="00EE5416" w:rsidRPr="00AD20EF" w:rsidRDefault="00EE5416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ABB558" w14:textId="77777777" w:rsidR="00EE5416" w:rsidRPr="00AD20EF" w:rsidRDefault="00EE5416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58BEAC" w14:textId="77777777" w:rsidR="00EE5416" w:rsidRPr="00AD20EF" w:rsidRDefault="00EE5416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657" w:type="dxa"/>
            <w:shd w:val="clear" w:color="auto" w:fill="D9D9D9" w:themeFill="background1" w:themeFillShade="D9"/>
          </w:tcPr>
          <w:p w14:paraId="21978DD3" w14:textId="77777777" w:rsidR="00EE5416" w:rsidRPr="00AD20EF" w:rsidRDefault="00EE5416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="00EE5416" w:rsidRPr="00AD20EF" w14:paraId="5DD72E19" w14:textId="77777777" w:rsidTr="00EE5416">
        <w:tc>
          <w:tcPr>
            <w:tcW w:w="2091" w:type="dxa"/>
          </w:tcPr>
          <w:p w14:paraId="06AD3FCD" w14:textId="17A349DD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Beliefs and Teachings &amp; Practices of Christianity</w:t>
            </w:r>
          </w:p>
        </w:tc>
        <w:tc>
          <w:tcPr>
            <w:tcW w:w="1165" w:type="dxa"/>
          </w:tcPr>
          <w:p w14:paraId="3F755937" w14:textId="68A58E5A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1 hour</w:t>
            </w:r>
          </w:p>
        </w:tc>
        <w:tc>
          <w:tcPr>
            <w:tcW w:w="1559" w:type="dxa"/>
          </w:tcPr>
          <w:p w14:paraId="13EC603C" w14:textId="3653FD59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63 marks (</w:t>
            </w:r>
            <w:proofErr w:type="spellStart"/>
            <w:r w:rsidRPr="00AD20EF">
              <w:rPr>
                <w:rFonts w:asciiTheme="minorHAnsi" w:hAnsiTheme="minorHAnsi" w:cstheme="minorHAnsi"/>
              </w:rPr>
              <w:t>inc</w:t>
            </w:r>
            <w:proofErr w:type="spellEnd"/>
            <w:r w:rsidRPr="00AD20EF">
              <w:rPr>
                <w:rFonts w:asciiTheme="minorHAnsi" w:hAnsiTheme="minorHAnsi" w:cstheme="minorHAnsi"/>
              </w:rPr>
              <w:t xml:space="preserve"> 3 SPAG)</w:t>
            </w:r>
          </w:p>
        </w:tc>
        <w:tc>
          <w:tcPr>
            <w:tcW w:w="1984" w:type="dxa"/>
          </w:tcPr>
          <w:p w14:paraId="6E349BAF" w14:textId="106E9827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3657" w:type="dxa"/>
          </w:tcPr>
          <w:p w14:paraId="73458A1F" w14:textId="465172A0" w:rsidR="00EE5416" w:rsidRPr="00AD20EF" w:rsidRDefault="00247EDE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Beliefs and Teachings</w:t>
            </w:r>
          </w:p>
          <w:p w14:paraId="4DD0C9B6" w14:textId="0B2A1462" w:rsidR="00EE5416" w:rsidRPr="00AD20EF" w:rsidRDefault="00247EDE" w:rsidP="00EE541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Practices</w:t>
            </w:r>
            <w:r w:rsidR="00EE5416" w:rsidRPr="00AD20E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E5416" w:rsidRPr="00AD20EF" w14:paraId="3B094704" w14:textId="77777777" w:rsidTr="00EE5416">
        <w:tc>
          <w:tcPr>
            <w:tcW w:w="2091" w:type="dxa"/>
          </w:tcPr>
          <w:p w14:paraId="23104CE6" w14:textId="00DBE3A9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Beliefs and Teachings &amp; Practices of Islam</w:t>
            </w:r>
          </w:p>
        </w:tc>
        <w:tc>
          <w:tcPr>
            <w:tcW w:w="1165" w:type="dxa"/>
          </w:tcPr>
          <w:p w14:paraId="4362E8E6" w14:textId="336F60C9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1 hour</w:t>
            </w:r>
          </w:p>
        </w:tc>
        <w:tc>
          <w:tcPr>
            <w:tcW w:w="1559" w:type="dxa"/>
          </w:tcPr>
          <w:p w14:paraId="448D951F" w14:textId="78457B03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63 marks (</w:t>
            </w:r>
            <w:proofErr w:type="spellStart"/>
            <w:r w:rsidRPr="00AD20EF">
              <w:rPr>
                <w:rFonts w:asciiTheme="minorHAnsi" w:hAnsiTheme="minorHAnsi" w:cstheme="minorHAnsi"/>
              </w:rPr>
              <w:t>inc</w:t>
            </w:r>
            <w:proofErr w:type="spellEnd"/>
            <w:r w:rsidRPr="00AD20EF">
              <w:rPr>
                <w:rFonts w:asciiTheme="minorHAnsi" w:hAnsiTheme="minorHAnsi" w:cstheme="minorHAnsi"/>
              </w:rPr>
              <w:t xml:space="preserve"> 3 SPAG)</w:t>
            </w:r>
          </w:p>
        </w:tc>
        <w:tc>
          <w:tcPr>
            <w:tcW w:w="1984" w:type="dxa"/>
          </w:tcPr>
          <w:p w14:paraId="069EB0BD" w14:textId="7E614C04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25%</w:t>
            </w:r>
          </w:p>
        </w:tc>
        <w:tc>
          <w:tcPr>
            <w:tcW w:w="3657" w:type="dxa"/>
          </w:tcPr>
          <w:p w14:paraId="3E42CACC" w14:textId="77777777" w:rsidR="00EE5416" w:rsidRPr="00AD20EF" w:rsidRDefault="00247EDE" w:rsidP="00247E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Beliefs and Teachings</w:t>
            </w:r>
          </w:p>
          <w:p w14:paraId="10EEFA69" w14:textId="740C2F86" w:rsidR="00247EDE" w:rsidRPr="00AD20EF" w:rsidRDefault="00247EDE" w:rsidP="00247ED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Practices</w:t>
            </w:r>
          </w:p>
        </w:tc>
      </w:tr>
      <w:tr w:rsidR="00EE5416" w:rsidRPr="00AD20EF" w14:paraId="61C8FC18" w14:textId="77777777" w:rsidTr="00EE5416">
        <w:tc>
          <w:tcPr>
            <w:tcW w:w="2091" w:type="dxa"/>
          </w:tcPr>
          <w:p w14:paraId="6DF6391F" w14:textId="23A89217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Religion, Philosophy and Ethics from a Christian view</w:t>
            </w:r>
          </w:p>
        </w:tc>
        <w:tc>
          <w:tcPr>
            <w:tcW w:w="1165" w:type="dxa"/>
          </w:tcPr>
          <w:p w14:paraId="19FA3DD8" w14:textId="102FC1FD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2 hours</w:t>
            </w:r>
          </w:p>
        </w:tc>
        <w:tc>
          <w:tcPr>
            <w:tcW w:w="1559" w:type="dxa"/>
          </w:tcPr>
          <w:p w14:paraId="30234A62" w14:textId="100BE54A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126 Marks (</w:t>
            </w:r>
            <w:proofErr w:type="spellStart"/>
            <w:r w:rsidRPr="00AD20EF">
              <w:rPr>
                <w:rFonts w:asciiTheme="minorHAnsi" w:hAnsiTheme="minorHAnsi" w:cstheme="minorHAnsi"/>
              </w:rPr>
              <w:t>inc</w:t>
            </w:r>
            <w:proofErr w:type="spellEnd"/>
            <w:r w:rsidRPr="00AD20EF">
              <w:rPr>
                <w:rFonts w:asciiTheme="minorHAnsi" w:hAnsiTheme="minorHAnsi" w:cstheme="minorHAnsi"/>
              </w:rPr>
              <w:t xml:space="preserve"> 6 SPAG)</w:t>
            </w:r>
          </w:p>
        </w:tc>
        <w:tc>
          <w:tcPr>
            <w:tcW w:w="1984" w:type="dxa"/>
          </w:tcPr>
          <w:p w14:paraId="54E94CF2" w14:textId="7C08CD22" w:rsidR="00EE5416" w:rsidRPr="00AD20EF" w:rsidRDefault="00247EDE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50%</w:t>
            </w:r>
          </w:p>
        </w:tc>
        <w:tc>
          <w:tcPr>
            <w:tcW w:w="3657" w:type="dxa"/>
          </w:tcPr>
          <w:p w14:paraId="28F40DC2" w14:textId="77777777" w:rsidR="00EE5416" w:rsidRPr="00AD20EF" w:rsidRDefault="00247EDE" w:rsidP="00247E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Relationships and Families</w:t>
            </w:r>
          </w:p>
          <w:p w14:paraId="71B7316B" w14:textId="5F419664" w:rsidR="00247EDE" w:rsidRPr="00AD20EF" w:rsidRDefault="00247EDE" w:rsidP="00247E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The Existence of God</w:t>
            </w:r>
          </w:p>
          <w:p w14:paraId="29CF198E" w14:textId="77777777" w:rsidR="00247EDE" w:rsidRPr="00AD20EF" w:rsidRDefault="00247EDE" w:rsidP="00247E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Religion, Peace and Conflict</w:t>
            </w:r>
          </w:p>
          <w:p w14:paraId="1539B45C" w14:textId="6884FDE6" w:rsidR="00247EDE" w:rsidRPr="00AD20EF" w:rsidRDefault="00247EDE" w:rsidP="00247ED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Dialogue on Religious Beliefs</w:t>
            </w:r>
          </w:p>
        </w:tc>
      </w:tr>
    </w:tbl>
    <w:p w14:paraId="16C39993" w14:textId="77777777" w:rsidR="00832012" w:rsidRPr="00EE5416" w:rsidRDefault="00832012">
      <w:pPr>
        <w:rPr>
          <w:b/>
          <w:sz w:val="24"/>
        </w:rPr>
      </w:pPr>
    </w:p>
    <w:p w14:paraId="68E766F4" w14:textId="77777777" w:rsidR="00EE5416" w:rsidRPr="00EE5416" w:rsidRDefault="00EE5416">
      <w:pPr>
        <w:rPr>
          <w:i/>
          <w:sz w:val="24"/>
        </w:rPr>
      </w:pPr>
      <w:r w:rsidRPr="00EE5416">
        <w:rPr>
          <w:i/>
          <w:sz w:val="24"/>
        </w:rPr>
        <w:t>Before revising, students should complete personal learni</w:t>
      </w:r>
      <w:r w:rsidR="00481502">
        <w:rPr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E5416">
        <w:rPr>
          <w:i/>
          <w:sz w:val="24"/>
        </w:rPr>
        <w:t xml:space="preserve">help them to </w:t>
      </w:r>
      <w:r w:rsidR="00481502">
        <w:rPr>
          <w:i/>
          <w:sz w:val="24"/>
        </w:rPr>
        <w:t xml:space="preserve">identify priorities and make effective use of their revision time. </w:t>
      </w:r>
    </w:p>
    <w:p w14:paraId="10659495" w14:textId="29972B4D" w:rsidR="00EE5416" w:rsidRPr="00481502" w:rsidRDefault="00EE541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Personal</w:t>
      </w:r>
      <w:r w:rsidR="00247EDE">
        <w:rPr>
          <w:b/>
          <w:sz w:val="24"/>
          <w:u w:val="single"/>
        </w:rPr>
        <w:t xml:space="preserve"> Learning Checklist for the mock exam: </w:t>
      </w:r>
      <w:r w:rsidR="007070E1">
        <w:rPr>
          <w:b/>
          <w:sz w:val="24"/>
          <w:u w:val="single"/>
        </w:rPr>
        <w:t>Beliefs, Teachings &amp; Practices of Christianity and Islam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:rsidRPr="00AD20EF" w14:paraId="3C2FB4AA" w14:textId="77777777" w:rsidTr="00481502">
        <w:tc>
          <w:tcPr>
            <w:tcW w:w="8784" w:type="dxa"/>
            <w:shd w:val="clear" w:color="auto" w:fill="D9D9D9" w:themeFill="background1" w:themeFillShade="D9"/>
          </w:tcPr>
          <w:p w14:paraId="2401C7DC" w14:textId="6E61794D" w:rsidR="00481502" w:rsidRPr="00AD20EF" w:rsidRDefault="007070E1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Christian Beliefs, Teachings &amp; Practices</w:t>
            </w:r>
            <w:r w:rsidR="00481502" w:rsidRPr="00AD20EF">
              <w:rPr>
                <w:rFonts w:asciiTheme="minorHAnsi" w:hAnsiTheme="minorHAnsi" w:cstheme="minorHAnsi"/>
                <w:b/>
              </w:rPr>
              <w:t xml:space="preserve"> (what I need to know)</w:t>
            </w:r>
          </w:p>
        </w:tc>
        <w:tc>
          <w:tcPr>
            <w:tcW w:w="567" w:type="dxa"/>
            <w:shd w:val="clear" w:color="auto" w:fill="FF0000"/>
          </w:tcPr>
          <w:p w14:paraId="735D1172" w14:textId="77777777" w:rsidR="00481502" w:rsidRPr="00AD20E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54732A0A" w14:textId="77777777" w:rsidR="00481502" w:rsidRPr="00AD20E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6120A390" w14:textId="77777777" w:rsidR="00481502" w:rsidRPr="00AD20EF" w:rsidRDefault="00481502" w:rsidP="0048150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7070E1" w:rsidRPr="00AD20EF" w14:paraId="689F1C1B" w14:textId="77777777" w:rsidTr="00481502">
        <w:tc>
          <w:tcPr>
            <w:tcW w:w="8784" w:type="dxa"/>
          </w:tcPr>
          <w:p w14:paraId="464332AA" w14:textId="77777777" w:rsidR="007070E1" w:rsidRPr="007070E1" w:rsidRDefault="007070E1" w:rsidP="007070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b/>
                <w:szCs w:val="24"/>
                <w:u w:val="single"/>
              </w:rPr>
              <w:t>BELIEFS: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9B43907" w14:textId="09348189" w:rsidR="007070E1" w:rsidRPr="007070E1" w:rsidRDefault="007070E1" w:rsidP="007070E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The nature of God:  God as omnipotent, loving and just and the problem of evil.</w:t>
            </w:r>
          </w:p>
        </w:tc>
        <w:tc>
          <w:tcPr>
            <w:tcW w:w="567" w:type="dxa"/>
          </w:tcPr>
          <w:p w14:paraId="01FC95B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2075A1A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F18772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51C6E7F0" w14:textId="77777777" w:rsidTr="00481502">
        <w:tc>
          <w:tcPr>
            <w:tcW w:w="8784" w:type="dxa"/>
          </w:tcPr>
          <w:p w14:paraId="74C59801" w14:textId="77777777" w:rsidR="007070E1" w:rsidRPr="007070E1" w:rsidRDefault="007070E1" w:rsidP="007070E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 xml:space="preserve">The oneness of God and the Trinity: Father, Son and Holy Spirit. </w:t>
            </w:r>
          </w:p>
          <w:p w14:paraId="3B062009" w14:textId="3DC61FFA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7" w:type="dxa"/>
          </w:tcPr>
          <w:p w14:paraId="7507C625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6496138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8236ADA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6F1F9E29" w14:textId="77777777" w:rsidTr="00481502">
        <w:tc>
          <w:tcPr>
            <w:tcW w:w="8784" w:type="dxa"/>
          </w:tcPr>
          <w:p w14:paraId="56BCCB9C" w14:textId="57043F39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Different Christian beliefs about creation including the role of Word and Spirit (John 1:1-3 and Genesis 1:1-3).</w:t>
            </w:r>
          </w:p>
        </w:tc>
        <w:tc>
          <w:tcPr>
            <w:tcW w:w="567" w:type="dxa"/>
          </w:tcPr>
          <w:p w14:paraId="23DC0F5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C4462A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768889E9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6CFA968C" w14:textId="77777777" w:rsidTr="00481502">
        <w:tc>
          <w:tcPr>
            <w:tcW w:w="8784" w:type="dxa"/>
          </w:tcPr>
          <w:p w14:paraId="2B03881A" w14:textId="161BA613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Jesus Christ and Salvation</w:t>
            </w:r>
            <w:r w:rsidRPr="007070E1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Beliefs and teaching about the incarnation and Jesus as the Son of God and the crucifixion. </w:t>
            </w:r>
          </w:p>
        </w:tc>
        <w:tc>
          <w:tcPr>
            <w:tcW w:w="567" w:type="dxa"/>
          </w:tcPr>
          <w:p w14:paraId="4189150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2F78CBF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DDF5CDF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289A1A9C" w14:textId="77777777" w:rsidTr="00481502">
        <w:tc>
          <w:tcPr>
            <w:tcW w:w="8784" w:type="dxa"/>
          </w:tcPr>
          <w:p w14:paraId="646E7A42" w14:textId="60984CB5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Jesus Christ and Salvation</w:t>
            </w:r>
            <w:r w:rsidRPr="007070E1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Beliefs and teaching about the resurrection and ascension and life after death </w:t>
            </w:r>
          </w:p>
        </w:tc>
        <w:tc>
          <w:tcPr>
            <w:tcW w:w="567" w:type="dxa"/>
          </w:tcPr>
          <w:p w14:paraId="7D552A7D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74BE88F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6258633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2BE41F5A" w14:textId="77777777" w:rsidTr="00481502">
        <w:tc>
          <w:tcPr>
            <w:tcW w:w="8784" w:type="dxa"/>
          </w:tcPr>
          <w:p w14:paraId="3AFBA279" w14:textId="64B049FB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Jesus Christ and Salva</w:t>
            </w:r>
            <w:r w:rsidRPr="007070E1">
              <w:rPr>
                <w:rFonts w:asciiTheme="minorHAnsi" w:hAnsiTheme="minorHAnsi" w:cstheme="minorHAnsi"/>
                <w:i/>
                <w:szCs w:val="24"/>
              </w:rPr>
              <w:t>t</w:t>
            </w:r>
            <w:r w:rsidRPr="007070E1">
              <w:rPr>
                <w:rFonts w:asciiTheme="minorHAnsi" w:hAnsiTheme="minorHAnsi" w:cstheme="minorHAnsi"/>
                <w:szCs w:val="24"/>
              </w:rPr>
              <w:t>ion</w:t>
            </w:r>
            <w:r w:rsidRPr="007070E1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Different Christian beliefs about the afterlife and their importance, including: resurrection and life after death: judgement, heaven and hell. </w:t>
            </w:r>
          </w:p>
        </w:tc>
        <w:tc>
          <w:tcPr>
            <w:tcW w:w="567" w:type="dxa"/>
          </w:tcPr>
          <w:p w14:paraId="6294C097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7FAD4960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5E4F6FD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3F0EBE1E" w14:textId="77777777" w:rsidTr="00481502">
        <w:tc>
          <w:tcPr>
            <w:tcW w:w="8784" w:type="dxa"/>
          </w:tcPr>
          <w:p w14:paraId="4CB9CAAD" w14:textId="29D07083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Jesus Christ and Salvation</w:t>
            </w:r>
            <w:r w:rsidRPr="007070E1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Beliefs and teaching about sin, including original sin, the means of salvation, including, law, grace and Spirit, the role of Christ in salvation and atonement.  </w:t>
            </w:r>
          </w:p>
        </w:tc>
        <w:tc>
          <w:tcPr>
            <w:tcW w:w="567" w:type="dxa"/>
          </w:tcPr>
          <w:p w14:paraId="0EA12565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57243F4C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49D3BE0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E508F8" w:rsidRPr="00AD20EF" w14:paraId="0A007221" w14:textId="77777777" w:rsidTr="00481502">
        <w:tc>
          <w:tcPr>
            <w:tcW w:w="8784" w:type="dxa"/>
          </w:tcPr>
          <w:p w14:paraId="273F3703" w14:textId="5D8DF050" w:rsidR="00E508F8" w:rsidRPr="00AD20EF" w:rsidRDefault="00E50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F2E35B9" w14:textId="77777777" w:rsidR="00E508F8" w:rsidRPr="00AD20EF" w:rsidRDefault="00E50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ACFC68F" w14:textId="77777777" w:rsidR="00E508F8" w:rsidRPr="00AD20EF" w:rsidRDefault="00E508F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4001394F" w14:textId="77777777" w:rsidR="00E508F8" w:rsidRPr="00AD20EF" w:rsidRDefault="00E508F8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3A772396" w14:textId="77777777" w:rsidTr="00481502">
        <w:tc>
          <w:tcPr>
            <w:tcW w:w="8784" w:type="dxa"/>
          </w:tcPr>
          <w:p w14:paraId="1018EB70" w14:textId="62AF39FF" w:rsidR="007070E1" w:rsidRPr="007070E1" w:rsidRDefault="007070E1" w:rsidP="007070E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b/>
                <w:szCs w:val="24"/>
                <w:u w:val="single"/>
              </w:rPr>
              <w:t>PRACTICES: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070E1">
              <w:rPr>
                <w:rFonts w:asciiTheme="minorHAnsi" w:hAnsiTheme="minorHAnsi" w:cstheme="minorHAnsi"/>
                <w:i/>
                <w:szCs w:val="24"/>
              </w:rPr>
              <w:t>Worship and festivals: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 Different forms of worship and their significance: Liturgical, non-liturgical and informal, including the use of the Bible and private worship.   Prayer and its significance, including Lord’s Prayer and informal prayer. </w:t>
            </w:r>
          </w:p>
        </w:tc>
        <w:tc>
          <w:tcPr>
            <w:tcW w:w="567" w:type="dxa"/>
          </w:tcPr>
          <w:p w14:paraId="270CCF67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17D603C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31E1B204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681B6B80" w14:textId="77777777" w:rsidTr="00481502">
        <w:tc>
          <w:tcPr>
            <w:tcW w:w="8784" w:type="dxa"/>
          </w:tcPr>
          <w:p w14:paraId="5A0FF0BE" w14:textId="39C71549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 xml:space="preserve">The role and meaning of the sacraments: The meaning of sacrament, the sacrament of baptism and its significance for Christians; infant and believers baptism; different ways in which it is celebrated and different interpretations of its meaning. </w:t>
            </w:r>
          </w:p>
        </w:tc>
        <w:tc>
          <w:tcPr>
            <w:tcW w:w="567" w:type="dxa"/>
          </w:tcPr>
          <w:p w14:paraId="30939825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940853B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B43EE58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7C05771F" w14:textId="77777777" w:rsidTr="00481502">
        <w:tc>
          <w:tcPr>
            <w:tcW w:w="8784" w:type="dxa"/>
          </w:tcPr>
          <w:p w14:paraId="57F65036" w14:textId="7CDF01DA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 xml:space="preserve">The sacrament of Eucharist (Holy Communion) and its significance for Christians, including different ways in which it is celebrate and different interpretations of its meaning. </w:t>
            </w:r>
          </w:p>
        </w:tc>
        <w:tc>
          <w:tcPr>
            <w:tcW w:w="567" w:type="dxa"/>
          </w:tcPr>
          <w:p w14:paraId="1F701DA2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B2D868D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C8F99A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07517DB6" w14:textId="77777777" w:rsidTr="00481502">
        <w:tc>
          <w:tcPr>
            <w:tcW w:w="8784" w:type="dxa"/>
          </w:tcPr>
          <w:p w14:paraId="6DFB448F" w14:textId="2CA8684F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lastRenderedPageBreak/>
              <w:t xml:space="preserve">The role and importance of pilgrimage and celebrations including: two contrasting examples of Christian pilgrimage: Lourdes and Iona.  The celebrations of Christmas and Easter, including their importance for Christians in Great Britain today. </w:t>
            </w:r>
          </w:p>
        </w:tc>
        <w:tc>
          <w:tcPr>
            <w:tcW w:w="567" w:type="dxa"/>
          </w:tcPr>
          <w:p w14:paraId="5B821E4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29CF8AA4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1A06860E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6D51BDC8" w14:textId="77777777" w:rsidTr="00481502">
        <w:tc>
          <w:tcPr>
            <w:tcW w:w="8784" w:type="dxa"/>
          </w:tcPr>
          <w:p w14:paraId="35BFADE4" w14:textId="1655A4AF" w:rsidR="007070E1" w:rsidRPr="007070E1" w:rsidRDefault="007070E1" w:rsidP="007070E1">
            <w:pPr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i/>
                <w:szCs w:val="24"/>
              </w:rPr>
              <w:t>The role of the church in the local and worldwide community</w:t>
            </w:r>
            <w:r w:rsidRPr="007070E1">
              <w:rPr>
                <w:rFonts w:asciiTheme="minorHAnsi" w:hAnsiTheme="minorHAnsi" w:cstheme="minorHAnsi"/>
                <w:szCs w:val="24"/>
              </w:rPr>
              <w:t xml:space="preserve">: The role of the Church in the local community, including food banks and street pastors. The place of mission, evangelism and Church growth. </w:t>
            </w:r>
          </w:p>
        </w:tc>
        <w:tc>
          <w:tcPr>
            <w:tcW w:w="567" w:type="dxa"/>
          </w:tcPr>
          <w:p w14:paraId="157ED401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3D97EB7A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8317B3E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  <w:tr w:rsidR="007070E1" w:rsidRPr="00AD20EF" w14:paraId="11B97B44" w14:textId="77777777" w:rsidTr="00481502">
        <w:tc>
          <w:tcPr>
            <w:tcW w:w="8784" w:type="dxa"/>
          </w:tcPr>
          <w:p w14:paraId="0BD16AB2" w14:textId="7750D475" w:rsidR="007070E1" w:rsidRPr="007070E1" w:rsidRDefault="007070E1" w:rsidP="007070E1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7070E1">
              <w:rPr>
                <w:rFonts w:asciiTheme="minorHAnsi" w:hAnsiTheme="minorHAnsi" w:cstheme="minorHAnsi"/>
                <w:szCs w:val="24"/>
              </w:rPr>
              <w:t>The importance of the worldwide church including: The work for reconciliation, how Christian church respond to persecution and the work of Christian Aid.</w:t>
            </w:r>
          </w:p>
        </w:tc>
        <w:tc>
          <w:tcPr>
            <w:tcW w:w="567" w:type="dxa"/>
          </w:tcPr>
          <w:p w14:paraId="7BF6F1A6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4BA16CF9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0ADE6AF2" w14:textId="77777777" w:rsidR="007070E1" w:rsidRPr="00AD20EF" w:rsidRDefault="007070E1" w:rsidP="007070E1">
            <w:pPr>
              <w:rPr>
                <w:rFonts w:asciiTheme="minorHAnsi" w:hAnsiTheme="minorHAnsi" w:cstheme="minorHAnsi"/>
              </w:rPr>
            </w:pPr>
          </w:p>
        </w:tc>
      </w:tr>
    </w:tbl>
    <w:p w14:paraId="6993988F" w14:textId="5072C44C" w:rsidR="00EE5416" w:rsidRDefault="00EE541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7070E1" w:rsidRPr="00AD20EF" w14:paraId="4486D89D" w14:textId="77777777" w:rsidTr="00652D29">
        <w:tc>
          <w:tcPr>
            <w:tcW w:w="8784" w:type="dxa"/>
            <w:shd w:val="clear" w:color="auto" w:fill="D9D9D9" w:themeFill="background1" w:themeFillShade="D9"/>
          </w:tcPr>
          <w:p w14:paraId="14CBBBCC" w14:textId="286C8A75" w:rsidR="007070E1" w:rsidRPr="00AD20EF" w:rsidRDefault="007070E1" w:rsidP="00652D2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Islam</w:t>
            </w:r>
            <w:r>
              <w:rPr>
                <w:rFonts w:asciiTheme="minorHAnsi" w:hAnsiTheme="minorHAnsi" w:cstheme="minorHAnsi"/>
                <w:b/>
              </w:rPr>
              <w:t xml:space="preserve"> Beliefs, Teachings &amp; Practices</w:t>
            </w:r>
            <w:r w:rsidRPr="00AD20EF">
              <w:rPr>
                <w:rFonts w:asciiTheme="minorHAnsi" w:hAnsiTheme="minorHAnsi" w:cstheme="minorHAnsi"/>
                <w:b/>
              </w:rPr>
              <w:t xml:space="preserve"> (what I need to know)</w:t>
            </w:r>
          </w:p>
        </w:tc>
        <w:tc>
          <w:tcPr>
            <w:tcW w:w="567" w:type="dxa"/>
            <w:shd w:val="clear" w:color="auto" w:fill="FF0000"/>
          </w:tcPr>
          <w:p w14:paraId="66F036D5" w14:textId="77777777" w:rsidR="007070E1" w:rsidRPr="00AD20EF" w:rsidRDefault="007070E1" w:rsidP="00652D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28746C49" w14:textId="77777777" w:rsidR="007070E1" w:rsidRPr="00AD20EF" w:rsidRDefault="007070E1" w:rsidP="00652D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156AFD5F" w14:textId="77777777" w:rsidR="007070E1" w:rsidRPr="00AD20EF" w:rsidRDefault="007070E1" w:rsidP="00652D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="008B6692" w:rsidRPr="00AD20EF" w14:paraId="5D55082E" w14:textId="77777777" w:rsidTr="00652D29">
        <w:tc>
          <w:tcPr>
            <w:tcW w:w="8784" w:type="dxa"/>
          </w:tcPr>
          <w:p w14:paraId="604AA310" w14:textId="5119922B" w:rsidR="008B6692" w:rsidRPr="008B6692" w:rsidRDefault="008B6692" w:rsidP="008B66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b/>
                <w:szCs w:val="24"/>
                <w:u w:val="single"/>
              </w:rPr>
              <w:t>BELIEFS:</w:t>
            </w:r>
            <w:r w:rsidRPr="008B6692">
              <w:rPr>
                <w:rFonts w:asciiTheme="minorHAnsi" w:hAnsiTheme="minorHAnsi" w:cstheme="minorHAnsi"/>
                <w:szCs w:val="24"/>
              </w:rPr>
              <w:t xml:space="preserve"> The six articles of faith in Sunni Islam and five roots of 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Ulul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 ad-Din in Shi’a Islam, including key similarities and differences. </w:t>
            </w:r>
          </w:p>
        </w:tc>
        <w:tc>
          <w:tcPr>
            <w:tcW w:w="567" w:type="dxa"/>
          </w:tcPr>
          <w:p w14:paraId="2A5E8F88" w14:textId="77777777" w:rsidR="008B6692" w:rsidRPr="00AD20EF" w:rsidRDefault="008B6692" w:rsidP="008B6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08B50B68" w14:textId="77777777" w:rsidR="008B6692" w:rsidRPr="00AD20EF" w:rsidRDefault="008B6692" w:rsidP="008B6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248354B2" w14:textId="77777777" w:rsidR="008B6692" w:rsidRPr="00AD20EF" w:rsidRDefault="008B6692" w:rsidP="008B6692">
            <w:pPr>
              <w:rPr>
                <w:rFonts w:asciiTheme="minorHAnsi" w:hAnsiTheme="minorHAnsi" w:cstheme="minorHAnsi"/>
              </w:rPr>
            </w:pPr>
          </w:p>
        </w:tc>
      </w:tr>
      <w:tr w:rsidR="008B6692" w:rsidRPr="00AD20EF" w14:paraId="3B2B9A0E" w14:textId="77777777" w:rsidTr="00652D29">
        <w:tc>
          <w:tcPr>
            <w:tcW w:w="8784" w:type="dxa"/>
          </w:tcPr>
          <w:p w14:paraId="6713368C" w14:textId="5D096D96" w:rsidR="008B6692" w:rsidRPr="008B6692" w:rsidRDefault="008B6692" w:rsidP="008B6692">
            <w:pPr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The oneness of God (Tawhid), Quran Surah 112 and the nature of God: omnipotence, beneficence, mercy, fairness and justice (Adalat in Shi’a Islam), including different ideas about God’s relationship with the world: immanence and transcendence. </w:t>
            </w:r>
          </w:p>
        </w:tc>
        <w:tc>
          <w:tcPr>
            <w:tcW w:w="567" w:type="dxa"/>
          </w:tcPr>
          <w:p w14:paraId="672081D5" w14:textId="77777777" w:rsidR="008B6692" w:rsidRPr="00AD20EF" w:rsidRDefault="008B6692" w:rsidP="008B6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14:paraId="6521B493" w14:textId="77777777" w:rsidR="008B6692" w:rsidRPr="00AD20EF" w:rsidRDefault="008B6692" w:rsidP="008B66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14:paraId="59195054" w14:textId="77777777" w:rsidR="008B6692" w:rsidRPr="00AD20EF" w:rsidRDefault="008B6692" w:rsidP="008B6692">
            <w:pPr>
              <w:rPr>
                <w:rFonts w:asciiTheme="minorHAnsi" w:hAnsiTheme="minorHAnsi" w:cstheme="minorHAnsi"/>
              </w:rPr>
            </w:pPr>
          </w:p>
        </w:tc>
      </w:tr>
      <w:tr w:rsidR="008B6692" w:rsidRPr="00AD20EF" w14:paraId="2D757FBD" w14:textId="77777777" w:rsidTr="00652D29">
        <w:tc>
          <w:tcPr>
            <w:tcW w:w="8784" w:type="dxa"/>
          </w:tcPr>
          <w:p w14:paraId="1C710A63" w14:textId="4DBDF7E5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Angels, their nature and role including Jibril and 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Mikar’il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 and predestination and human freedom and its relationship to the Day of Judgement. </w:t>
            </w:r>
          </w:p>
        </w:tc>
        <w:tc>
          <w:tcPr>
            <w:tcW w:w="567" w:type="dxa"/>
          </w:tcPr>
          <w:p w14:paraId="37A84A1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E2F0AD4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7DBF42E0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51B5BD5D" w14:textId="77777777" w:rsidTr="00652D29">
        <w:tc>
          <w:tcPr>
            <w:tcW w:w="8784" w:type="dxa"/>
          </w:tcPr>
          <w:p w14:paraId="0FCA6953" w14:textId="0BDBF552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>Life after Death (Akhirah), human responsibility and accountability, resurrection, heaven and hell.</w:t>
            </w:r>
          </w:p>
        </w:tc>
        <w:tc>
          <w:tcPr>
            <w:tcW w:w="567" w:type="dxa"/>
          </w:tcPr>
          <w:p w14:paraId="633753F1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C9C26A1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6D82E5C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32CC0AB4" w14:textId="77777777" w:rsidTr="00652D29">
        <w:tc>
          <w:tcPr>
            <w:tcW w:w="8784" w:type="dxa"/>
          </w:tcPr>
          <w:p w14:paraId="1D7CAC86" w14:textId="105EF833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>Authority: Prophet hood (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Risalah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) including the role and importance of Adam, Ibrahim and Muhammad.  </w:t>
            </w:r>
          </w:p>
        </w:tc>
        <w:tc>
          <w:tcPr>
            <w:tcW w:w="567" w:type="dxa"/>
          </w:tcPr>
          <w:p w14:paraId="52F3420E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93A07D3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224B0358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2CF10C83" w14:textId="77777777" w:rsidTr="00652D29">
        <w:tc>
          <w:tcPr>
            <w:tcW w:w="8784" w:type="dxa"/>
          </w:tcPr>
          <w:p w14:paraId="3A493F3E" w14:textId="266472DA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The six articles of faith in Sunni Islam and five roots of 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Ulul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 ad-Din in Shi’a Islam, including key similarities and differences. </w:t>
            </w:r>
          </w:p>
        </w:tc>
        <w:tc>
          <w:tcPr>
            <w:tcW w:w="567" w:type="dxa"/>
          </w:tcPr>
          <w:p w14:paraId="270BFEE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23E897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042C276C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55D1B8D3" w14:textId="77777777" w:rsidTr="00652D29">
        <w:tc>
          <w:tcPr>
            <w:tcW w:w="8784" w:type="dxa"/>
          </w:tcPr>
          <w:p w14:paraId="7FE71FFD" w14:textId="7696E31E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Authority: The Holy Books – Qur’an: revelation and authority, the Torah, the Psalms, the Gospel, the Scrolls of Abraham and their authority. The imamate in Shi’a Islam: its role and significance. </w:t>
            </w:r>
          </w:p>
        </w:tc>
        <w:tc>
          <w:tcPr>
            <w:tcW w:w="567" w:type="dxa"/>
          </w:tcPr>
          <w:p w14:paraId="60C33C8C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CF6A8A4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5DB076FD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4D0DE8C6" w14:textId="77777777" w:rsidTr="00652D29">
        <w:tc>
          <w:tcPr>
            <w:tcW w:w="8784" w:type="dxa"/>
          </w:tcPr>
          <w:p w14:paraId="4B889E7D" w14:textId="77777777" w:rsidR="008B6692" w:rsidRPr="008B6692" w:rsidRDefault="008B6692" w:rsidP="008B6692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567" w:type="dxa"/>
          </w:tcPr>
          <w:p w14:paraId="53350ECE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585D62B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6A76079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36147D15" w14:textId="77777777" w:rsidTr="00652D29">
        <w:tc>
          <w:tcPr>
            <w:tcW w:w="8784" w:type="dxa"/>
          </w:tcPr>
          <w:p w14:paraId="665110E8" w14:textId="5ECCA1E0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PRACTICES: </w:t>
            </w:r>
            <w:r w:rsidRPr="008B6692">
              <w:rPr>
                <w:rFonts w:asciiTheme="minorHAnsi" w:hAnsiTheme="minorHAnsi" w:cstheme="minorHAnsi"/>
                <w:bCs/>
                <w:szCs w:val="24"/>
              </w:rPr>
              <w:t>Worship:</w:t>
            </w:r>
            <w:r w:rsidRPr="008B6692">
              <w:rPr>
                <w:rFonts w:asciiTheme="minorHAnsi" w:hAnsiTheme="minorHAnsi" w:cstheme="minorHAnsi"/>
                <w:szCs w:val="24"/>
              </w:rPr>
              <w:t xml:space="preserve"> Five Pillars of Sunni Islam and the Ten Obligatory Acts of Shi’a Islam (student should study the 5 pillars and jihad in both Sunni and Shi’a Islam and the additional duties of Shi’a Islam). Shahadah: Declaration of faith and its place in Muslim practice.</w:t>
            </w:r>
          </w:p>
        </w:tc>
        <w:tc>
          <w:tcPr>
            <w:tcW w:w="567" w:type="dxa"/>
          </w:tcPr>
          <w:p w14:paraId="4F027B02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D35D6B1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057A0B69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5F90E811" w14:textId="77777777" w:rsidTr="00652D29">
        <w:tc>
          <w:tcPr>
            <w:tcW w:w="8784" w:type="dxa"/>
          </w:tcPr>
          <w:p w14:paraId="13AD9326" w14:textId="22783043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>Salah and its significance: how and why Muslims pray including times, directions, ablution (wudu), movements (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rak’ahs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>) and recitations; salah in the home and mosque and elsewhere; Friday prayer (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Jummah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); key differences in practices of Salah in Sunni and Shi’a Islam, and different Muslim views about the importance of prayer. </w:t>
            </w:r>
          </w:p>
        </w:tc>
        <w:tc>
          <w:tcPr>
            <w:tcW w:w="567" w:type="dxa"/>
          </w:tcPr>
          <w:p w14:paraId="04F2E39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511AF9B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428ABD67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2DEE059E" w14:textId="77777777" w:rsidTr="00652D29">
        <w:tc>
          <w:tcPr>
            <w:tcW w:w="8784" w:type="dxa"/>
          </w:tcPr>
          <w:p w14:paraId="3CFD28E8" w14:textId="77E0354E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Duties and festivals: Sawm: the role and significance of fasting during the month of Ramadan including origins, duties, benefits of fasting, the exceptions and their reasons, and the Night of Power </w:t>
            </w:r>
          </w:p>
        </w:tc>
        <w:tc>
          <w:tcPr>
            <w:tcW w:w="567" w:type="dxa"/>
          </w:tcPr>
          <w:p w14:paraId="57171B8E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C88F72C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1D7F0BA2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49C5F0A9" w14:textId="77777777" w:rsidTr="00652D29">
        <w:tc>
          <w:tcPr>
            <w:tcW w:w="8784" w:type="dxa"/>
          </w:tcPr>
          <w:p w14:paraId="5260546D" w14:textId="6F69EFAA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Duties and festivals: 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Zakah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: The role and significance of the pilgrimage to Makkah including origins how hajj is performed, the actions pilgrims perform at sites including the 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Ka’aba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 at Makkah, Mina, Arafat, 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Muzdalifah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 xml:space="preserve"> and their significance. </w:t>
            </w:r>
          </w:p>
        </w:tc>
        <w:tc>
          <w:tcPr>
            <w:tcW w:w="567" w:type="dxa"/>
          </w:tcPr>
          <w:p w14:paraId="5493BAC7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27154B0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10CAA919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5DBB10C3" w14:textId="77777777" w:rsidTr="00652D29">
        <w:tc>
          <w:tcPr>
            <w:tcW w:w="8784" w:type="dxa"/>
          </w:tcPr>
          <w:p w14:paraId="03D5160E" w14:textId="4E1C3030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t xml:space="preserve">Duties and festivals: Jihad: Different understandings of jihad: the meaning and significance of great and lesser jihad, origins and conditions for the declaration of lesser jihad. </w:t>
            </w:r>
          </w:p>
        </w:tc>
        <w:tc>
          <w:tcPr>
            <w:tcW w:w="567" w:type="dxa"/>
          </w:tcPr>
          <w:p w14:paraId="20BBB8F5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CB34660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649FB3A1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  <w:tr w:rsidR="008B6692" w:rsidRPr="00AD20EF" w14:paraId="235AE377" w14:textId="77777777" w:rsidTr="00652D29">
        <w:tc>
          <w:tcPr>
            <w:tcW w:w="8784" w:type="dxa"/>
          </w:tcPr>
          <w:p w14:paraId="641E2089" w14:textId="042F600C" w:rsidR="008B6692" w:rsidRPr="008B6692" w:rsidRDefault="008B6692" w:rsidP="008B6692">
            <w:pPr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8B6692">
              <w:rPr>
                <w:rFonts w:asciiTheme="minorHAnsi" w:hAnsiTheme="minorHAnsi" w:cstheme="minorHAnsi"/>
                <w:szCs w:val="24"/>
              </w:rPr>
              <w:lastRenderedPageBreak/>
              <w:t>Duties and festivals:</w:t>
            </w:r>
            <w:r w:rsidRPr="008B669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B6692">
              <w:rPr>
                <w:rFonts w:asciiTheme="minorHAnsi" w:hAnsiTheme="minorHAnsi" w:cstheme="minorHAnsi"/>
                <w:szCs w:val="24"/>
              </w:rPr>
              <w:t>Festivals and commemorations and their importance for Muslims in Great Britain today, including the origins and meaning of Id-ul-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Adha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>, Id-ul-</w:t>
            </w:r>
            <w:proofErr w:type="spellStart"/>
            <w:r w:rsidRPr="008B6692">
              <w:rPr>
                <w:rFonts w:asciiTheme="minorHAnsi" w:hAnsiTheme="minorHAnsi" w:cstheme="minorHAnsi"/>
                <w:szCs w:val="24"/>
              </w:rPr>
              <w:t>Fitr</w:t>
            </w:r>
            <w:proofErr w:type="spellEnd"/>
            <w:r w:rsidRPr="008B6692">
              <w:rPr>
                <w:rFonts w:asciiTheme="minorHAnsi" w:hAnsiTheme="minorHAnsi" w:cstheme="minorHAnsi"/>
                <w:szCs w:val="24"/>
              </w:rPr>
              <w:t>, Ashura.</w:t>
            </w:r>
          </w:p>
        </w:tc>
        <w:tc>
          <w:tcPr>
            <w:tcW w:w="567" w:type="dxa"/>
          </w:tcPr>
          <w:p w14:paraId="72D31948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77DE67B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  <w:tc>
          <w:tcPr>
            <w:tcW w:w="538" w:type="dxa"/>
          </w:tcPr>
          <w:p w14:paraId="23FFB1F6" w14:textId="77777777" w:rsidR="008B6692" w:rsidRPr="00AD20EF" w:rsidRDefault="008B6692" w:rsidP="008B6692">
            <w:pPr>
              <w:rPr>
                <w:rFonts w:cstheme="minorHAnsi"/>
              </w:rPr>
            </w:pPr>
          </w:p>
        </w:tc>
      </w:tr>
    </w:tbl>
    <w:p w14:paraId="5DE16529" w14:textId="77578D1F" w:rsidR="00783CB2" w:rsidRDefault="00783CB2">
      <w:pPr>
        <w:rPr>
          <w:sz w:val="24"/>
        </w:rPr>
      </w:pPr>
    </w:p>
    <w:p w14:paraId="74CDC356" w14:textId="77777777" w:rsidR="007070E1" w:rsidRDefault="007070E1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="00481502" w14:paraId="76AE4F0D" w14:textId="77777777" w:rsidTr="00610FBC">
        <w:tc>
          <w:tcPr>
            <w:tcW w:w="8784" w:type="dxa"/>
            <w:shd w:val="clear" w:color="auto" w:fill="D9D9D9" w:themeFill="background1" w:themeFillShade="D9"/>
          </w:tcPr>
          <w:p w14:paraId="5E50901F" w14:textId="77777777" w:rsidR="00481502" w:rsidRPr="00AD20EF" w:rsidRDefault="00481502" w:rsidP="00610F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67" w:type="dxa"/>
            <w:shd w:val="clear" w:color="auto" w:fill="FF0000"/>
          </w:tcPr>
          <w:p w14:paraId="53B5DDDC" w14:textId="77777777" w:rsidR="00481502" w:rsidRPr="00481502" w:rsidRDefault="00481502" w:rsidP="00610FBC">
            <w:pPr>
              <w:jc w:val="center"/>
              <w:rPr>
                <w:b/>
              </w:rPr>
            </w:pPr>
            <w:r w:rsidRPr="00481502"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14:paraId="030D30A5" w14:textId="77777777" w:rsidR="00481502" w:rsidRPr="00481502" w:rsidRDefault="00481502" w:rsidP="00610FBC">
            <w:pPr>
              <w:jc w:val="center"/>
              <w:rPr>
                <w:b/>
              </w:rPr>
            </w:pPr>
            <w:r w:rsidRPr="00481502">
              <w:rPr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14:paraId="2C0FD6C0" w14:textId="77777777" w:rsidR="00481502" w:rsidRPr="00481502" w:rsidRDefault="00481502" w:rsidP="00610FBC">
            <w:pPr>
              <w:jc w:val="center"/>
              <w:rPr>
                <w:b/>
              </w:rPr>
            </w:pPr>
            <w:r w:rsidRPr="00481502">
              <w:rPr>
                <w:b/>
              </w:rPr>
              <w:t>G</w:t>
            </w:r>
          </w:p>
        </w:tc>
      </w:tr>
      <w:tr w:rsidR="00481502" w14:paraId="55DB202C" w14:textId="77777777" w:rsidTr="00610FBC">
        <w:tc>
          <w:tcPr>
            <w:tcW w:w="8784" w:type="dxa"/>
          </w:tcPr>
          <w:p w14:paraId="181BAB9F" w14:textId="4AAF11B5" w:rsidR="00481502" w:rsidRPr="00AD20EF" w:rsidRDefault="00783CB2" w:rsidP="00610FBC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>AO1 D</w:t>
            </w:r>
            <w:r w:rsidR="00E508F8" w:rsidRPr="00AD20EF">
              <w:rPr>
                <w:rFonts w:asciiTheme="minorHAnsi" w:hAnsiTheme="minorHAnsi" w:cstheme="minorHAnsi"/>
                <w:b/>
              </w:rPr>
              <w:t>emonstration of knowledge and understanding in response to the stimulus</w:t>
            </w:r>
          </w:p>
        </w:tc>
        <w:tc>
          <w:tcPr>
            <w:tcW w:w="567" w:type="dxa"/>
          </w:tcPr>
          <w:p w14:paraId="7893BD03" w14:textId="77777777" w:rsidR="00481502" w:rsidRDefault="00481502" w:rsidP="00610FBC"/>
        </w:tc>
        <w:tc>
          <w:tcPr>
            <w:tcW w:w="567" w:type="dxa"/>
          </w:tcPr>
          <w:p w14:paraId="56C71C84" w14:textId="77777777" w:rsidR="00481502" w:rsidRDefault="00481502" w:rsidP="00610FBC"/>
        </w:tc>
        <w:tc>
          <w:tcPr>
            <w:tcW w:w="538" w:type="dxa"/>
          </w:tcPr>
          <w:p w14:paraId="2F9DDAAE" w14:textId="77777777" w:rsidR="00481502" w:rsidRDefault="00481502" w:rsidP="00610FBC"/>
        </w:tc>
      </w:tr>
      <w:tr w:rsidR="00481502" w14:paraId="69D92BA2" w14:textId="77777777" w:rsidTr="00610FBC">
        <w:tc>
          <w:tcPr>
            <w:tcW w:w="8784" w:type="dxa"/>
          </w:tcPr>
          <w:p w14:paraId="526E2574" w14:textId="5B4488D3" w:rsidR="00481502" w:rsidRPr="00AD20EF" w:rsidRDefault="00E508F8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Appropriate selection of religious knowledge</w:t>
            </w:r>
          </w:p>
        </w:tc>
        <w:tc>
          <w:tcPr>
            <w:tcW w:w="567" w:type="dxa"/>
          </w:tcPr>
          <w:p w14:paraId="669FBB70" w14:textId="77777777" w:rsidR="00481502" w:rsidRDefault="00481502" w:rsidP="00610FBC"/>
        </w:tc>
        <w:tc>
          <w:tcPr>
            <w:tcW w:w="567" w:type="dxa"/>
          </w:tcPr>
          <w:p w14:paraId="18E6B1E6" w14:textId="77777777" w:rsidR="00481502" w:rsidRDefault="00481502" w:rsidP="00610FBC"/>
        </w:tc>
        <w:tc>
          <w:tcPr>
            <w:tcW w:w="538" w:type="dxa"/>
          </w:tcPr>
          <w:p w14:paraId="654381D8" w14:textId="77777777" w:rsidR="00481502" w:rsidRDefault="00481502" w:rsidP="00610FBC"/>
        </w:tc>
      </w:tr>
      <w:tr w:rsidR="00481502" w14:paraId="18B69543" w14:textId="77777777" w:rsidTr="00610FBC">
        <w:tc>
          <w:tcPr>
            <w:tcW w:w="8784" w:type="dxa"/>
          </w:tcPr>
          <w:p w14:paraId="4B6BE2D5" w14:textId="31911B96" w:rsidR="00481502" w:rsidRPr="00AD20EF" w:rsidRDefault="00E508F8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Selection of appropriate sources of wisdom and authority</w:t>
            </w:r>
          </w:p>
        </w:tc>
        <w:tc>
          <w:tcPr>
            <w:tcW w:w="567" w:type="dxa"/>
          </w:tcPr>
          <w:p w14:paraId="04E9DE53" w14:textId="77777777" w:rsidR="00481502" w:rsidRDefault="00481502" w:rsidP="00610FBC"/>
        </w:tc>
        <w:tc>
          <w:tcPr>
            <w:tcW w:w="567" w:type="dxa"/>
          </w:tcPr>
          <w:p w14:paraId="1B02BA92" w14:textId="77777777" w:rsidR="00481502" w:rsidRDefault="00481502" w:rsidP="00610FBC"/>
        </w:tc>
        <w:tc>
          <w:tcPr>
            <w:tcW w:w="538" w:type="dxa"/>
          </w:tcPr>
          <w:p w14:paraId="52BC3127" w14:textId="77777777" w:rsidR="00481502" w:rsidRDefault="00481502" w:rsidP="00610FBC"/>
        </w:tc>
      </w:tr>
      <w:tr w:rsidR="00481502" w14:paraId="1794A112" w14:textId="77777777" w:rsidTr="00610FBC">
        <w:tc>
          <w:tcPr>
            <w:tcW w:w="8784" w:type="dxa"/>
          </w:tcPr>
          <w:p w14:paraId="2F88FAFD" w14:textId="225694E5" w:rsidR="00481502" w:rsidRPr="00AD20EF" w:rsidRDefault="00E508F8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Good knowledge and understanding of different viewpoints within Christianity</w:t>
            </w:r>
          </w:p>
        </w:tc>
        <w:tc>
          <w:tcPr>
            <w:tcW w:w="567" w:type="dxa"/>
          </w:tcPr>
          <w:p w14:paraId="351198F9" w14:textId="77777777" w:rsidR="00481502" w:rsidRDefault="00481502" w:rsidP="00610FBC"/>
        </w:tc>
        <w:tc>
          <w:tcPr>
            <w:tcW w:w="567" w:type="dxa"/>
          </w:tcPr>
          <w:p w14:paraId="7F2652DB" w14:textId="77777777" w:rsidR="00481502" w:rsidRDefault="00481502" w:rsidP="00610FBC"/>
        </w:tc>
        <w:tc>
          <w:tcPr>
            <w:tcW w:w="538" w:type="dxa"/>
          </w:tcPr>
          <w:p w14:paraId="7C45A9EB" w14:textId="77777777" w:rsidR="00481502" w:rsidRDefault="00481502" w:rsidP="00610FBC"/>
        </w:tc>
      </w:tr>
      <w:tr w:rsidR="00481502" w14:paraId="126F62DA" w14:textId="77777777" w:rsidTr="00610FBC">
        <w:tc>
          <w:tcPr>
            <w:tcW w:w="8784" w:type="dxa"/>
          </w:tcPr>
          <w:p w14:paraId="3BF3FD64" w14:textId="19C7254E" w:rsidR="00481502" w:rsidRPr="00AD20EF" w:rsidRDefault="00E508F8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Good knowledge and understanding of the influence on individuals, communities and societies</w:t>
            </w:r>
          </w:p>
        </w:tc>
        <w:tc>
          <w:tcPr>
            <w:tcW w:w="567" w:type="dxa"/>
          </w:tcPr>
          <w:p w14:paraId="1A4CB49B" w14:textId="77777777" w:rsidR="00481502" w:rsidRDefault="00481502" w:rsidP="00610FBC"/>
        </w:tc>
        <w:tc>
          <w:tcPr>
            <w:tcW w:w="567" w:type="dxa"/>
          </w:tcPr>
          <w:p w14:paraId="0BB95888" w14:textId="77777777" w:rsidR="00481502" w:rsidRDefault="00481502" w:rsidP="00610FBC"/>
        </w:tc>
        <w:tc>
          <w:tcPr>
            <w:tcW w:w="538" w:type="dxa"/>
          </w:tcPr>
          <w:p w14:paraId="6086120D" w14:textId="77777777" w:rsidR="00481502" w:rsidRDefault="00481502" w:rsidP="00610FBC"/>
        </w:tc>
      </w:tr>
      <w:tr w:rsidR="00481502" w14:paraId="7963B4F8" w14:textId="77777777" w:rsidTr="00610FBC">
        <w:tc>
          <w:tcPr>
            <w:tcW w:w="8784" w:type="dxa"/>
          </w:tcPr>
          <w:p w14:paraId="56300EC6" w14:textId="6314C3D0" w:rsidR="00481502" w:rsidRPr="00AD20EF" w:rsidRDefault="00E508F8" w:rsidP="00610FBC">
            <w:pPr>
              <w:rPr>
                <w:rFonts w:asciiTheme="minorHAnsi" w:hAnsiTheme="minorHAnsi" w:cstheme="minorHAnsi"/>
                <w:b/>
              </w:rPr>
            </w:pPr>
            <w:r w:rsidRPr="00AD20EF">
              <w:rPr>
                <w:rFonts w:asciiTheme="minorHAnsi" w:hAnsiTheme="minorHAnsi" w:cstheme="minorHAnsi"/>
                <w:b/>
              </w:rPr>
              <w:t xml:space="preserve">AO2 </w:t>
            </w:r>
            <w:r w:rsidR="00783CB2" w:rsidRPr="00AD20EF">
              <w:rPr>
                <w:rFonts w:asciiTheme="minorHAnsi" w:hAnsiTheme="minorHAnsi" w:cstheme="minorHAnsi"/>
                <w:b/>
              </w:rPr>
              <w:t xml:space="preserve">An </w:t>
            </w:r>
            <w:r w:rsidRPr="00AD20EF">
              <w:rPr>
                <w:rFonts w:asciiTheme="minorHAnsi" w:hAnsiTheme="minorHAnsi" w:cstheme="minorHAnsi"/>
                <w:b/>
              </w:rPr>
              <w:t>attempt to respond to the stimulus</w:t>
            </w:r>
          </w:p>
        </w:tc>
        <w:tc>
          <w:tcPr>
            <w:tcW w:w="567" w:type="dxa"/>
          </w:tcPr>
          <w:p w14:paraId="0CB3AA02" w14:textId="77777777" w:rsidR="00481502" w:rsidRDefault="00481502" w:rsidP="00610FBC"/>
        </w:tc>
        <w:tc>
          <w:tcPr>
            <w:tcW w:w="567" w:type="dxa"/>
          </w:tcPr>
          <w:p w14:paraId="638DCDAA" w14:textId="77777777" w:rsidR="00481502" w:rsidRDefault="00481502" w:rsidP="00610FBC"/>
        </w:tc>
        <w:tc>
          <w:tcPr>
            <w:tcW w:w="538" w:type="dxa"/>
          </w:tcPr>
          <w:p w14:paraId="5217E2C6" w14:textId="77777777" w:rsidR="00481502" w:rsidRDefault="00481502" w:rsidP="00610FBC"/>
        </w:tc>
      </w:tr>
      <w:tr w:rsidR="00481502" w14:paraId="12E30D43" w14:textId="77777777" w:rsidTr="00610FBC">
        <w:tc>
          <w:tcPr>
            <w:tcW w:w="8784" w:type="dxa"/>
          </w:tcPr>
          <w:p w14:paraId="012295A5" w14:textId="0371C5CD" w:rsidR="00481502" w:rsidRPr="00AD20EF" w:rsidRDefault="00E508F8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A variety of viewpoints explored with good use of reasoned argument and discussion</w:t>
            </w:r>
          </w:p>
        </w:tc>
        <w:tc>
          <w:tcPr>
            <w:tcW w:w="567" w:type="dxa"/>
          </w:tcPr>
          <w:p w14:paraId="26D37EAF" w14:textId="77777777" w:rsidR="00481502" w:rsidRDefault="00481502" w:rsidP="00610FBC"/>
        </w:tc>
        <w:tc>
          <w:tcPr>
            <w:tcW w:w="567" w:type="dxa"/>
          </w:tcPr>
          <w:p w14:paraId="1AAFCBB5" w14:textId="77777777" w:rsidR="00481502" w:rsidRDefault="00481502" w:rsidP="00610FBC"/>
        </w:tc>
        <w:tc>
          <w:tcPr>
            <w:tcW w:w="538" w:type="dxa"/>
          </w:tcPr>
          <w:p w14:paraId="65268C59" w14:textId="77777777" w:rsidR="00481502" w:rsidRDefault="00481502" w:rsidP="00610FBC"/>
        </w:tc>
      </w:tr>
      <w:tr w:rsidR="00E508F8" w14:paraId="3127EEC3" w14:textId="77777777" w:rsidTr="00610FBC">
        <w:tc>
          <w:tcPr>
            <w:tcW w:w="8784" w:type="dxa"/>
          </w:tcPr>
          <w:p w14:paraId="146FE260" w14:textId="32DBAD6D" w:rsidR="00E508F8" w:rsidRPr="00AD20EF" w:rsidRDefault="00783CB2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Good analysis and evaluation of the significance and/or influence of the issue on different Christian groups</w:t>
            </w:r>
          </w:p>
        </w:tc>
        <w:tc>
          <w:tcPr>
            <w:tcW w:w="567" w:type="dxa"/>
          </w:tcPr>
          <w:p w14:paraId="234C2AF5" w14:textId="77777777" w:rsidR="00E508F8" w:rsidRDefault="00E508F8" w:rsidP="00610FBC"/>
        </w:tc>
        <w:tc>
          <w:tcPr>
            <w:tcW w:w="567" w:type="dxa"/>
          </w:tcPr>
          <w:p w14:paraId="3C18C7AE" w14:textId="77777777" w:rsidR="00E508F8" w:rsidRDefault="00E508F8" w:rsidP="00610FBC"/>
        </w:tc>
        <w:tc>
          <w:tcPr>
            <w:tcW w:w="538" w:type="dxa"/>
          </w:tcPr>
          <w:p w14:paraId="1DB12D6A" w14:textId="77777777" w:rsidR="00E508F8" w:rsidRDefault="00E508F8" w:rsidP="00610FBC"/>
        </w:tc>
      </w:tr>
      <w:tr w:rsidR="00783CB2" w14:paraId="64A6B0FA" w14:textId="77777777" w:rsidTr="00610FBC">
        <w:tc>
          <w:tcPr>
            <w:tcW w:w="8784" w:type="dxa"/>
          </w:tcPr>
          <w:p w14:paraId="4BE102CC" w14:textId="18C30153" w:rsidR="00783CB2" w:rsidRPr="00AD20EF" w:rsidRDefault="00783CB2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Evidence of critical evaluation including comment on, and comparison of, arguments from different Christian groups</w:t>
            </w:r>
          </w:p>
        </w:tc>
        <w:tc>
          <w:tcPr>
            <w:tcW w:w="567" w:type="dxa"/>
          </w:tcPr>
          <w:p w14:paraId="123531A4" w14:textId="77777777" w:rsidR="00783CB2" w:rsidRDefault="00783CB2" w:rsidP="00610FBC"/>
        </w:tc>
        <w:tc>
          <w:tcPr>
            <w:tcW w:w="567" w:type="dxa"/>
          </w:tcPr>
          <w:p w14:paraId="1DBE18C7" w14:textId="77777777" w:rsidR="00783CB2" w:rsidRDefault="00783CB2" w:rsidP="00610FBC"/>
        </w:tc>
        <w:tc>
          <w:tcPr>
            <w:tcW w:w="538" w:type="dxa"/>
          </w:tcPr>
          <w:p w14:paraId="20C9469D" w14:textId="77777777" w:rsidR="00783CB2" w:rsidRDefault="00783CB2" w:rsidP="00610FBC"/>
        </w:tc>
      </w:tr>
      <w:tr w:rsidR="00783CB2" w14:paraId="259D6271" w14:textId="77777777" w:rsidTr="00610FBC">
        <w:tc>
          <w:tcPr>
            <w:tcW w:w="8784" w:type="dxa"/>
          </w:tcPr>
          <w:p w14:paraId="23BE1B04" w14:textId="31FF7CDE" w:rsidR="00783CB2" w:rsidRPr="00AD20EF" w:rsidRDefault="00783CB2" w:rsidP="00610FBC">
            <w:pPr>
              <w:rPr>
                <w:rFonts w:asciiTheme="minorHAnsi" w:hAnsiTheme="minorHAnsi" w:cstheme="minorHAnsi"/>
              </w:rPr>
            </w:pPr>
            <w:r w:rsidRPr="00AD20EF">
              <w:rPr>
                <w:rFonts w:asciiTheme="minorHAnsi" w:hAnsiTheme="minorHAnsi" w:cstheme="minorHAnsi"/>
              </w:rPr>
              <w:t>Evidence of judgement on the issue in the stimulus and a balanced conclusion to the discussion</w:t>
            </w:r>
          </w:p>
        </w:tc>
        <w:tc>
          <w:tcPr>
            <w:tcW w:w="567" w:type="dxa"/>
          </w:tcPr>
          <w:p w14:paraId="4F1F3D92" w14:textId="77777777" w:rsidR="00783CB2" w:rsidRDefault="00783CB2" w:rsidP="00610FBC"/>
        </w:tc>
        <w:tc>
          <w:tcPr>
            <w:tcW w:w="567" w:type="dxa"/>
          </w:tcPr>
          <w:p w14:paraId="7C89F110" w14:textId="77777777" w:rsidR="00783CB2" w:rsidRDefault="00783CB2" w:rsidP="00610FBC"/>
        </w:tc>
        <w:tc>
          <w:tcPr>
            <w:tcW w:w="538" w:type="dxa"/>
          </w:tcPr>
          <w:p w14:paraId="52F1E9A6" w14:textId="77777777" w:rsidR="00783CB2" w:rsidRDefault="00783CB2" w:rsidP="00610FBC"/>
        </w:tc>
      </w:tr>
    </w:tbl>
    <w:p w14:paraId="4AE80CDE" w14:textId="77777777" w:rsidR="00AD20EF" w:rsidRDefault="00AD20EF" w:rsidP="00AD20EF">
      <w:pPr>
        <w:jc w:val="center"/>
        <w:rPr>
          <w:b/>
          <w:color w:val="C45911" w:themeColor="accent2" w:themeShade="BF"/>
          <w:sz w:val="48"/>
        </w:rPr>
      </w:pPr>
    </w:p>
    <w:p w14:paraId="71CC1A68" w14:textId="20612C2A" w:rsidR="00783CB2" w:rsidRDefault="004F3B34" w:rsidP="00AD20EF">
      <w:pPr>
        <w:jc w:val="center"/>
        <w:rPr>
          <w:b/>
          <w:color w:val="C45911" w:themeColor="accent2" w:themeShade="BF"/>
          <w:sz w:val="48"/>
        </w:rPr>
      </w:pPr>
      <w:r>
        <w:rPr>
          <w:b/>
          <w:color w:val="C45911" w:themeColor="accent2" w:themeShade="BF"/>
          <w:sz w:val="48"/>
        </w:rPr>
        <w:t>TOP REVISION TIPS</w:t>
      </w:r>
      <w:r w:rsidR="004D28E6">
        <w:rPr>
          <w:b/>
          <w:color w:val="C45911" w:themeColor="accent2" w:themeShade="BF"/>
          <w:sz w:val="48"/>
        </w:rPr>
        <w:t xml:space="preserve"> FOR </w:t>
      </w:r>
      <w:r w:rsidR="00783CB2">
        <w:rPr>
          <w:b/>
          <w:color w:val="C45911" w:themeColor="accent2" w:themeShade="BF"/>
          <w:sz w:val="48"/>
        </w:rPr>
        <w:t>PHILOSOPHY &amp; ETHICS</w:t>
      </w:r>
    </w:p>
    <w:p w14:paraId="546358BF" w14:textId="6EC6A703" w:rsidR="003732BE" w:rsidRPr="00AD20EF" w:rsidRDefault="003732BE" w:rsidP="003732BE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>How to revise:</w:t>
      </w:r>
    </w:p>
    <w:p w14:paraId="2D81ECEA" w14:textId="0E6C51FB" w:rsidR="003732BE" w:rsidRPr="00AD20EF" w:rsidRDefault="003732BE" w:rsidP="003732BE">
      <w:pPr>
        <w:ind w:left="720"/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 xml:space="preserve">- </w:t>
      </w:r>
      <w:r w:rsidR="00783CB2" w:rsidRPr="00AD20EF">
        <w:rPr>
          <w:color w:val="000000" w:themeColor="text1"/>
          <w:sz w:val="26"/>
          <w:szCs w:val="26"/>
        </w:rPr>
        <w:t>Start by looking at the specification – make sure you know exactly what material to revise and tick off each section as you feel confident about them.</w:t>
      </w:r>
    </w:p>
    <w:p w14:paraId="1659A575" w14:textId="502D443A" w:rsidR="003732BE" w:rsidRPr="00AD20EF" w:rsidRDefault="003732BE" w:rsidP="003732BE">
      <w:pPr>
        <w:ind w:left="720"/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 xml:space="preserve">- </w:t>
      </w:r>
      <w:r w:rsidR="00783CB2" w:rsidRPr="00AD20EF">
        <w:rPr>
          <w:color w:val="000000" w:themeColor="text1"/>
          <w:sz w:val="26"/>
          <w:szCs w:val="26"/>
        </w:rPr>
        <w:t>Organise your notes and work out a realistic revision plan.</w:t>
      </w:r>
    </w:p>
    <w:p w14:paraId="44760321" w14:textId="612A3FE5" w:rsidR="00783CB2" w:rsidRPr="00AD20EF" w:rsidRDefault="00783CB2" w:rsidP="00783CB2">
      <w:pPr>
        <w:pStyle w:val="ListParagraph"/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>- Be familiar with specialist religious vocabula</w:t>
      </w:r>
      <w:r w:rsidR="003732BE" w:rsidRPr="00AD20EF">
        <w:rPr>
          <w:color w:val="000000" w:themeColor="text1"/>
          <w:sz w:val="26"/>
          <w:szCs w:val="26"/>
        </w:rPr>
        <w:t>ry and learn some key Bible</w:t>
      </w:r>
      <w:r w:rsidR="008B6692">
        <w:rPr>
          <w:color w:val="000000" w:themeColor="text1"/>
          <w:sz w:val="26"/>
          <w:szCs w:val="26"/>
        </w:rPr>
        <w:t xml:space="preserve"> / Qur’an</w:t>
      </w:r>
      <w:r w:rsidR="003732BE" w:rsidRPr="00AD20EF">
        <w:rPr>
          <w:color w:val="000000" w:themeColor="text1"/>
          <w:sz w:val="26"/>
          <w:szCs w:val="26"/>
        </w:rPr>
        <w:t xml:space="preserve"> references and sources of authority and wisdom.</w:t>
      </w:r>
    </w:p>
    <w:p w14:paraId="72A8B0DA" w14:textId="4C959939" w:rsidR="003732BE" w:rsidRPr="00AD20EF" w:rsidRDefault="003732BE" w:rsidP="00783CB2">
      <w:pPr>
        <w:pStyle w:val="ListParagraph"/>
        <w:rPr>
          <w:color w:val="000000" w:themeColor="text1"/>
          <w:sz w:val="26"/>
          <w:szCs w:val="26"/>
        </w:rPr>
      </w:pPr>
    </w:p>
    <w:p w14:paraId="75770749" w14:textId="3E3115AB" w:rsidR="003732BE" w:rsidRPr="008B6692" w:rsidRDefault="003732BE" w:rsidP="008B6692">
      <w:pPr>
        <w:pStyle w:val="ListParagraph"/>
        <w:numPr>
          <w:ilvl w:val="0"/>
          <w:numId w:val="4"/>
        </w:numPr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>Resources to help you revise:</w:t>
      </w:r>
      <w:r w:rsidR="00AD20EF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36B0139" wp14:editId="0B56EA2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939925" cy="2653734"/>
            <wp:effectExtent l="0" t="0" r="3175" b="0"/>
            <wp:wrapTight wrapText="bothSides">
              <wp:wrapPolygon edited="0">
                <wp:start x="0" y="0"/>
                <wp:lineTo x="0" y="21398"/>
                <wp:lineTo x="21423" y="21398"/>
                <wp:lineTo x="214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9-30 at 21.45.4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0"/>
                    <a:stretch/>
                  </pic:blipFill>
                  <pic:spPr bwMode="auto">
                    <a:xfrm>
                      <a:off x="0" y="0"/>
                      <a:ext cx="1939925" cy="2653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C403F1" w14:textId="023390DE" w:rsidR="003732BE" w:rsidRPr="00AD20EF" w:rsidRDefault="003732BE" w:rsidP="003732BE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>The Philosophy and Ethics Department’s revision notes. There are notes available for all topics with keywords, key concepts and references to sources of authority and wisdom.</w:t>
      </w:r>
    </w:p>
    <w:p w14:paraId="5D07E873" w14:textId="71A8AA1F" w:rsidR="003732BE" w:rsidRPr="00AD20EF" w:rsidRDefault="003732BE" w:rsidP="003732BE">
      <w:pPr>
        <w:pStyle w:val="ListParagraph"/>
        <w:numPr>
          <w:ilvl w:val="0"/>
          <w:numId w:val="6"/>
        </w:numPr>
        <w:rPr>
          <w:color w:val="000000" w:themeColor="text1"/>
          <w:sz w:val="26"/>
          <w:szCs w:val="26"/>
        </w:rPr>
      </w:pPr>
      <w:r w:rsidRPr="00AD20EF">
        <w:rPr>
          <w:color w:val="000000" w:themeColor="text1"/>
          <w:sz w:val="26"/>
          <w:szCs w:val="26"/>
        </w:rPr>
        <w:t xml:space="preserve">Revision book – My Revision Notes OCR GCSE (9-1) Religious Studies Hodder Education by Lorraine Abbott. There are lots of practice questions and example answers to the questions can be found at </w:t>
      </w:r>
      <w:hyperlink r:id="rId10" w:history="1">
        <w:r w:rsidRPr="00AD20EF">
          <w:rPr>
            <w:rStyle w:val="Hyperlink"/>
            <w:sz w:val="26"/>
            <w:szCs w:val="26"/>
          </w:rPr>
          <w:t>www.therevisionbutton.co.uk/myrevisionnotes</w:t>
        </w:r>
      </w:hyperlink>
      <w:r w:rsidRPr="00AD20EF">
        <w:rPr>
          <w:color w:val="000000" w:themeColor="text1"/>
          <w:sz w:val="26"/>
          <w:szCs w:val="26"/>
        </w:rPr>
        <w:t xml:space="preserve"> </w:t>
      </w:r>
    </w:p>
    <w:p w14:paraId="7E53201B" w14:textId="197D22B3" w:rsidR="00783CB2" w:rsidRPr="00783CB2" w:rsidRDefault="00783CB2" w:rsidP="00783CB2">
      <w:pPr>
        <w:pStyle w:val="ListParagraph"/>
        <w:rPr>
          <w:color w:val="C45911" w:themeColor="accent2" w:themeShade="BF"/>
          <w:sz w:val="28"/>
          <w:szCs w:val="28"/>
        </w:rPr>
      </w:pPr>
    </w:p>
    <w:p w14:paraId="2AD30055" w14:textId="779F57DA" w:rsidR="004F3B34" w:rsidRPr="00EE5416" w:rsidRDefault="004F3B34">
      <w:pPr>
        <w:rPr>
          <w:sz w:val="24"/>
        </w:rPr>
      </w:pPr>
      <w:bookmarkStart w:id="0" w:name="_GoBack"/>
      <w:bookmarkEnd w:id="0"/>
    </w:p>
    <w:sectPr w:rsidR="004F3B34" w:rsidRPr="00EE5416" w:rsidSect="00832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23A4"/>
    <w:multiLevelType w:val="hybridMultilevel"/>
    <w:tmpl w:val="7A6C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817B5"/>
    <w:multiLevelType w:val="hybridMultilevel"/>
    <w:tmpl w:val="58BA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1F10"/>
    <w:multiLevelType w:val="hybridMultilevel"/>
    <w:tmpl w:val="2312C3C4"/>
    <w:lvl w:ilvl="0" w:tplc="B580862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914B8"/>
    <w:multiLevelType w:val="hybridMultilevel"/>
    <w:tmpl w:val="1C52F95A"/>
    <w:lvl w:ilvl="0" w:tplc="FCB671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F3E7C"/>
    <w:multiLevelType w:val="hybridMultilevel"/>
    <w:tmpl w:val="72F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12"/>
    <w:rsid w:val="00060B29"/>
    <w:rsid w:val="00247EDE"/>
    <w:rsid w:val="003732BE"/>
    <w:rsid w:val="00481502"/>
    <w:rsid w:val="004D28E6"/>
    <w:rsid w:val="004F3B34"/>
    <w:rsid w:val="006A2F3B"/>
    <w:rsid w:val="007070E1"/>
    <w:rsid w:val="00783CB2"/>
    <w:rsid w:val="00832012"/>
    <w:rsid w:val="008B6692"/>
    <w:rsid w:val="00AD20EF"/>
    <w:rsid w:val="00C97770"/>
    <w:rsid w:val="00E508F8"/>
    <w:rsid w:val="00E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B0CE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2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revisionbutton.co.uk/myrevisionnote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9D35C-DB05-4809-9939-4067D3280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85a748-aa94-41ee-9e67-40534ddb7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66D29-2C5F-4785-AC39-7C123F831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06652C-48A1-48B9-B72D-571A4041B0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Microsoft Office User</cp:lastModifiedBy>
  <cp:revision>2</cp:revision>
  <dcterms:created xsi:type="dcterms:W3CDTF">2019-09-29T18:51:00Z</dcterms:created>
  <dcterms:modified xsi:type="dcterms:W3CDTF">2019-09-29T18:51:00Z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