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528"/>
        <w:gridCol w:w="1454"/>
        <w:gridCol w:w="2112"/>
        <w:gridCol w:w="2417"/>
      </w:tblGrid>
      <w:tr w:rsidR="00812CCB" w:rsidRPr="00812CCB" w:rsidTr="00812CCB">
        <w:tc>
          <w:tcPr>
            <w:tcW w:w="1505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Subject</w:t>
            </w:r>
          </w:p>
        </w:tc>
        <w:tc>
          <w:tcPr>
            <w:tcW w:w="1528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Paper</w:t>
            </w:r>
          </w:p>
        </w:tc>
        <w:tc>
          <w:tcPr>
            <w:tcW w:w="1454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Length</w:t>
            </w:r>
          </w:p>
        </w:tc>
        <w:tc>
          <w:tcPr>
            <w:tcW w:w="2112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Content/ Topic</w:t>
            </w:r>
          </w:p>
        </w:tc>
        <w:tc>
          <w:tcPr>
            <w:tcW w:w="2417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Skills</w:t>
            </w:r>
          </w:p>
        </w:tc>
      </w:tr>
      <w:tr w:rsidR="00812CCB" w:rsidRPr="00812CCB" w:rsidTr="00812CCB">
        <w:tc>
          <w:tcPr>
            <w:tcW w:w="1505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English Literature</w:t>
            </w:r>
          </w:p>
        </w:tc>
        <w:tc>
          <w:tcPr>
            <w:tcW w:w="1528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Literature Paper 1</w:t>
            </w:r>
          </w:p>
        </w:tc>
        <w:tc>
          <w:tcPr>
            <w:tcW w:w="1454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1 hour 45 minutes</w:t>
            </w:r>
          </w:p>
        </w:tc>
        <w:tc>
          <w:tcPr>
            <w:tcW w:w="2112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‘A Christmas Carol’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‘Macbeth’</w:t>
            </w:r>
          </w:p>
        </w:tc>
        <w:tc>
          <w:tcPr>
            <w:tcW w:w="2417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b/>
                <w:bCs/>
                <w:color w:val="212121"/>
                <w:lang w:val="en-US" w:eastAsia="en-GB"/>
              </w:rPr>
              <w:t>PEE: Analysis and evaluation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Choosing supporting evidence from throughout the texts;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Terminology;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Writer’s intentions;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Wider context of the text;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Interpretation and Inference.</w:t>
            </w:r>
          </w:p>
        </w:tc>
      </w:tr>
      <w:tr w:rsidR="00812CCB" w:rsidRPr="00812CCB" w:rsidTr="00812CCB">
        <w:tc>
          <w:tcPr>
            <w:tcW w:w="1505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 </w:t>
            </w:r>
          </w:p>
        </w:tc>
        <w:tc>
          <w:tcPr>
            <w:tcW w:w="1528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 Literature Paper 2</w:t>
            </w:r>
          </w:p>
        </w:tc>
        <w:tc>
          <w:tcPr>
            <w:tcW w:w="1454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2 hours 15 minutes </w:t>
            </w:r>
          </w:p>
        </w:tc>
        <w:tc>
          <w:tcPr>
            <w:tcW w:w="2112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An Inspector Calls 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Relationships or Conflict poetry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Unseen Poetry</w:t>
            </w:r>
          </w:p>
        </w:tc>
        <w:tc>
          <w:tcPr>
            <w:tcW w:w="2417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 </w:t>
            </w:r>
            <w:r w:rsidRPr="00812CCB">
              <w:rPr>
                <w:rFonts w:ascii="Calibri" w:eastAsia="Times New Roman" w:hAnsi="Calibri" w:cs="Calibri"/>
                <w:b/>
                <w:bCs/>
                <w:color w:val="212121"/>
                <w:lang w:val="en-US" w:eastAsia="en-GB"/>
              </w:rPr>
              <w:t>PEE Analysis, evaluation and comparison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Choosing supporting evidence from throughout the texts;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Terminology;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Writer’s intentions;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Wider context of the text;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Interpretation and Inference.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For Poetry only: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Comparison of ideas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Comparison of methods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Comparison of effects</w:t>
            </w:r>
          </w:p>
        </w:tc>
      </w:tr>
      <w:tr w:rsidR="00812CCB" w:rsidRPr="00812CCB" w:rsidTr="00812CCB">
        <w:tc>
          <w:tcPr>
            <w:tcW w:w="1505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 English Language</w:t>
            </w:r>
          </w:p>
        </w:tc>
        <w:tc>
          <w:tcPr>
            <w:tcW w:w="1528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Language Paper 1 </w:t>
            </w:r>
          </w:p>
        </w:tc>
        <w:tc>
          <w:tcPr>
            <w:tcW w:w="1454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1 hour 45 minutes</w:t>
            </w:r>
          </w:p>
        </w:tc>
        <w:tc>
          <w:tcPr>
            <w:tcW w:w="2112" w:type="dxa"/>
            <w:hideMark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 </w:t>
            </w:r>
            <w:r>
              <w:rPr>
                <w:rFonts w:ascii="Calibri" w:eastAsia="Times New Roman" w:hAnsi="Calibri" w:cs="Calibri"/>
                <w:color w:val="212121"/>
                <w:lang w:val="en-US" w:eastAsia="en-GB"/>
              </w:rPr>
              <w:t>Explorations in Creative Reading and Writing</w:t>
            </w:r>
          </w:p>
        </w:tc>
        <w:tc>
          <w:tcPr>
            <w:tcW w:w="2417" w:type="dxa"/>
            <w:hideMark/>
          </w:tcPr>
          <w:p w:rsid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 </w:t>
            </w:r>
            <w:r>
              <w:rPr>
                <w:rFonts w:ascii="Calibri" w:eastAsia="Times New Roman" w:hAnsi="Calibri" w:cs="Calibri"/>
                <w:color w:val="212121"/>
                <w:lang w:val="en-US" w:eastAsia="en-GB"/>
              </w:rPr>
              <w:t>Identification and Inference;</w:t>
            </w:r>
          </w:p>
          <w:p w:rsid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val="en-US" w:eastAsia="en-GB"/>
              </w:rPr>
              <w:t>Language Analysis;</w:t>
            </w:r>
          </w:p>
          <w:p w:rsid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val="en-US" w:eastAsia="en-GB"/>
              </w:rPr>
              <w:t>Whole-Text and Structure analysis;</w:t>
            </w:r>
          </w:p>
          <w:p w:rsid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Evaluation of effect</w:t>
            </w:r>
          </w:p>
          <w:p w:rsid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Writing to Describe</w:t>
            </w:r>
          </w:p>
          <w:p w:rsid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Paragraphs and sentences for effect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212121"/>
                <w:lang w:eastAsia="en-GB"/>
              </w:rPr>
              <w:t>SPaG</w:t>
            </w:r>
            <w:proofErr w:type="spellEnd"/>
          </w:p>
        </w:tc>
      </w:tr>
      <w:tr w:rsidR="00812CCB" w:rsidRPr="00812CCB" w:rsidTr="00812CCB">
        <w:tc>
          <w:tcPr>
            <w:tcW w:w="1505" w:type="dxa"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 English Language</w:t>
            </w:r>
          </w:p>
        </w:tc>
        <w:tc>
          <w:tcPr>
            <w:tcW w:w="1528" w:type="dxa"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 xml:space="preserve">Language </w:t>
            </w:r>
            <w:r>
              <w:rPr>
                <w:rFonts w:ascii="Calibri" w:eastAsia="Times New Roman" w:hAnsi="Calibri" w:cs="Calibri"/>
                <w:color w:val="212121"/>
                <w:lang w:val="en-US" w:eastAsia="en-GB"/>
              </w:rPr>
              <w:t>Paper 2</w:t>
            </w:r>
          </w:p>
        </w:tc>
        <w:tc>
          <w:tcPr>
            <w:tcW w:w="1454" w:type="dxa"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1 hour 45 minutes</w:t>
            </w:r>
          </w:p>
        </w:tc>
        <w:tc>
          <w:tcPr>
            <w:tcW w:w="2112" w:type="dxa"/>
          </w:tcPr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val="en-US" w:eastAsia="en-GB"/>
              </w:rPr>
              <w:t>Writers’ Viewpoints and Perspectives</w:t>
            </w:r>
          </w:p>
        </w:tc>
        <w:tc>
          <w:tcPr>
            <w:tcW w:w="2417" w:type="dxa"/>
          </w:tcPr>
          <w:p w:rsid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 w:rsidRPr="00812CCB">
              <w:rPr>
                <w:rFonts w:ascii="Calibri" w:eastAsia="Times New Roman" w:hAnsi="Calibri" w:cs="Calibri"/>
                <w:color w:val="212121"/>
                <w:lang w:val="en-US" w:eastAsia="en-GB"/>
              </w:rPr>
              <w:t> </w:t>
            </w:r>
            <w:r>
              <w:rPr>
                <w:rFonts w:ascii="Calibri" w:eastAsia="Times New Roman" w:hAnsi="Calibri" w:cs="Calibri"/>
                <w:color w:val="212121"/>
                <w:lang w:val="en-US" w:eastAsia="en-GB"/>
              </w:rPr>
              <w:t>Identification and Inference;</w:t>
            </w:r>
          </w:p>
          <w:p w:rsid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val="en-US" w:eastAsia="en-GB"/>
              </w:rPr>
              <w:t>Summarizing;</w:t>
            </w:r>
          </w:p>
          <w:p w:rsid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val="en-US" w:eastAsia="en-GB"/>
              </w:rPr>
              <w:t>Comparing of differences;</w:t>
            </w:r>
          </w:p>
          <w:p w:rsid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val="en-US" w:eastAsia="en-GB"/>
              </w:rPr>
              <w:t>Language analysis;</w:t>
            </w:r>
          </w:p>
          <w:p w:rsid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val="en-US" w:eastAsia="en-GB"/>
              </w:rPr>
              <w:t>Comparison of perspectives;</w:t>
            </w:r>
          </w:p>
          <w:p w:rsid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val="en-US" w:eastAsia="en-GB"/>
              </w:rPr>
              <w:t>Writing to inform, argue or persuade;</w:t>
            </w:r>
          </w:p>
          <w:p w:rsidR="00812CCB" w:rsidRDefault="00812CCB" w:rsidP="00812CCB">
            <w:pPr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212121"/>
                <w:lang w:eastAsia="en-GB"/>
              </w:rPr>
              <w:t>Paragraphs and sentences for effect</w:t>
            </w:r>
          </w:p>
          <w:p w:rsidR="00812CCB" w:rsidRPr="00812CCB" w:rsidRDefault="00812CCB" w:rsidP="00812CCB">
            <w:pPr>
              <w:rPr>
                <w:rFonts w:ascii="Calibri" w:eastAsia="Times New Roman" w:hAnsi="Calibri" w:cs="Calibri"/>
                <w:color w:val="212121"/>
                <w:lang w:val="en-US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212121"/>
                <w:lang w:eastAsia="en-GB"/>
              </w:rPr>
              <w:t>SPaG</w:t>
            </w:r>
            <w:bookmarkStart w:id="0" w:name="_GoBack"/>
            <w:bookmarkEnd w:id="0"/>
            <w:proofErr w:type="spellEnd"/>
          </w:p>
        </w:tc>
      </w:tr>
    </w:tbl>
    <w:p w:rsidR="00DF148A" w:rsidRDefault="00812CCB"/>
    <w:sectPr w:rsidR="00DF1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B"/>
    <w:rsid w:val="00095E67"/>
    <w:rsid w:val="00812CCB"/>
    <w:rsid w:val="0094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C1AE"/>
  <w15:chartTrackingRefBased/>
  <w15:docId w15:val="{6C8E2285-53D6-414E-8281-EE14BEE2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1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1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C6978-3CA7-42A1-8CB6-967911F9D957}"/>
</file>

<file path=customXml/itemProps2.xml><?xml version="1.0" encoding="utf-8"?>
<ds:datastoreItem xmlns:ds="http://schemas.openxmlformats.org/officeDocument/2006/customXml" ds:itemID="{62D8A38D-F7C8-4FAF-B4FA-D095FCBF2F6B}"/>
</file>

<file path=customXml/itemProps3.xml><?xml version="1.0" encoding="utf-8"?>
<ds:datastoreItem xmlns:ds="http://schemas.openxmlformats.org/officeDocument/2006/customXml" ds:itemID="{45261D1B-7291-46CA-A9C1-B450F2508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Greenacre</dc:creator>
  <cp:keywords/>
  <dc:description/>
  <cp:lastModifiedBy>Christie Greenacre</cp:lastModifiedBy>
  <cp:revision>1</cp:revision>
  <dcterms:created xsi:type="dcterms:W3CDTF">2018-10-02T13:36:00Z</dcterms:created>
  <dcterms:modified xsi:type="dcterms:W3CDTF">2018-10-02T13:45:00Z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