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C260C6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5A76E986" w:rsidR="00350228" w:rsidRPr="00C260C6" w:rsidRDefault="000B445E" w:rsidP="00803856">
            <w:pPr>
              <w:rPr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>Course name:</w:t>
            </w:r>
            <w:r w:rsidR="00350228" w:rsidRPr="00C260C6">
              <w:rPr>
                <w:sz w:val="20"/>
                <w:szCs w:val="20"/>
              </w:rPr>
              <w:t xml:space="preserve"> </w:t>
            </w:r>
            <w:r w:rsidR="00694241" w:rsidRPr="00C260C6">
              <w:rPr>
                <w:sz w:val="20"/>
                <w:szCs w:val="20"/>
              </w:rPr>
              <w:t>Music</w:t>
            </w:r>
          </w:p>
        </w:tc>
      </w:tr>
      <w:tr w:rsidR="00350228" w:rsidRPr="00C260C6" w14:paraId="068FAD5B" w14:textId="77777777" w:rsidTr="004D6804">
        <w:trPr>
          <w:trHeight w:val="575"/>
        </w:trPr>
        <w:tc>
          <w:tcPr>
            <w:tcW w:w="8976" w:type="dxa"/>
          </w:tcPr>
          <w:p w14:paraId="16628498" w14:textId="30B3C4F6" w:rsidR="00350228" w:rsidRPr="00C260C6" w:rsidRDefault="00350228" w:rsidP="00803856">
            <w:pPr>
              <w:rPr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>Which course</w:t>
            </w:r>
            <w:r w:rsidR="009D5617" w:rsidRPr="00C260C6">
              <w:rPr>
                <w:sz w:val="20"/>
                <w:szCs w:val="20"/>
              </w:rPr>
              <w:t xml:space="preserve"> </w:t>
            </w:r>
            <w:r w:rsidRPr="00C260C6">
              <w:rPr>
                <w:sz w:val="20"/>
                <w:szCs w:val="20"/>
              </w:rPr>
              <w:t xml:space="preserve">/ syllabus will I be following? </w:t>
            </w:r>
          </w:p>
          <w:p w14:paraId="5C8572BD" w14:textId="7E0FF764" w:rsidR="00350228" w:rsidRPr="00C260C6" w:rsidRDefault="00803856" w:rsidP="00803856">
            <w:pPr>
              <w:rPr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>Level 2 Tech</w:t>
            </w:r>
            <w:r w:rsidR="00694241" w:rsidRPr="00C260C6">
              <w:rPr>
                <w:sz w:val="20"/>
                <w:szCs w:val="20"/>
              </w:rPr>
              <w:t>nical</w:t>
            </w:r>
            <w:r w:rsidRPr="00C260C6">
              <w:rPr>
                <w:sz w:val="20"/>
                <w:szCs w:val="20"/>
              </w:rPr>
              <w:t xml:space="preserve"> Award in Music Practice</w:t>
            </w:r>
            <w:r w:rsidR="00D47CEB" w:rsidRPr="00C260C6">
              <w:rPr>
                <w:sz w:val="20"/>
                <w:szCs w:val="20"/>
              </w:rPr>
              <w:t xml:space="preserve"> </w:t>
            </w:r>
            <w:r w:rsidR="00694241" w:rsidRPr="00C260C6">
              <w:rPr>
                <w:sz w:val="20"/>
                <w:szCs w:val="20"/>
              </w:rPr>
              <w:t>(BTEC Pearson)</w:t>
            </w:r>
          </w:p>
        </w:tc>
      </w:tr>
      <w:tr w:rsidR="00350228" w:rsidRPr="00C260C6" w14:paraId="36BC44BE" w14:textId="77777777" w:rsidTr="00694241">
        <w:trPr>
          <w:trHeight w:val="1250"/>
        </w:trPr>
        <w:tc>
          <w:tcPr>
            <w:tcW w:w="8976" w:type="dxa"/>
          </w:tcPr>
          <w:p w14:paraId="50FA36BA" w14:textId="2C8A62A4" w:rsidR="00350228" w:rsidRPr="00C260C6" w:rsidRDefault="005170E6" w:rsidP="00803856">
            <w:pPr>
              <w:rPr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>Reason</w:t>
            </w:r>
          </w:p>
          <w:p w14:paraId="06447F2C" w14:textId="77777777" w:rsidR="00694241" w:rsidRPr="00C260C6" w:rsidRDefault="00694241" w:rsidP="00694241">
            <w:pPr>
              <w:rPr>
                <w:rFonts w:cs="Times"/>
                <w:color w:val="000000" w:themeColor="text1"/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 xml:space="preserve">The music industry is constantly evolving and offers many different and exciting new work opportunities. In 2015, the music industry supported more than 117,000 full-time jobs in the UK, 69,300 of which were professional musician roles. </w:t>
            </w:r>
            <w:r w:rsidR="00803856" w:rsidRPr="00C260C6">
              <w:rPr>
                <w:rFonts w:cs="Times"/>
                <w:color w:val="000000" w:themeColor="text1"/>
                <w:sz w:val="20"/>
                <w:szCs w:val="20"/>
              </w:rPr>
              <w:t>The aim of this qualific</w:t>
            </w:r>
            <w:r w:rsidR="003D20EE" w:rsidRPr="00C260C6">
              <w:rPr>
                <w:rFonts w:cs="Times"/>
                <w:color w:val="000000" w:themeColor="text1"/>
                <w:sz w:val="20"/>
                <w:szCs w:val="20"/>
              </w:rPr>
              <w:t>ation is to provide you</w:t>
            </w:r>
            <w:r w:rsidR="00803856" w:rsidRPr="00C260C6">
              <w:rPr>
                <w:rFonts w:cs="Times"/>
                <w:color w:val="000000" w:themeColor="text1"/>
                <w:sz w:val="20"/>
                <w:szCs w:val="20"/>
              </w:rPr>
              <w:t xml:space="preserve"> with the knowledge and range of skills needed to become a successf</w:t>
            </w:r>
            <w:r w:rsidRPr="00C260C6">
              <w:rPr>
                <w:rFonts w:cs="Times"/>
                <w:color w:val="000000" w:themeColor="text1"/>
                <w:sz w:val="20"/>
                <w:szCs w:val="20"/>
              </w:rPr>
              <w:t>ul music performer and producer and prep</w:t>
            </w:r>
            <w:bookmarkStart w:id="0" w:name="_GoBack"/>
            <w:bookmarkEnd w:id="0"/>
            <w:r w:rsidRPr="00C260C6">
              <w:rPr>
                <w:rFonts w:cs="Times"/>
                <w:color w:val="000000" w:themeColor="text1"/>
                <w:sz w:val="20"/>
                <w:szCs w:val="20"/>
              </w:rPr>
              <w:t xml:space="preserve">are you for a role within the ever-growing music industry. </w:t>
            </w:r>
          </w:p>
          <w:p w14:paraId="498694BC" w14:textId="77777777" w:rsidR="00694241" w:rsidRPr="00C260C6" w:rsidRDefault="00694241" w:rsidP="00694241">
            <w:pPr>
              <w:rPr>
                <w:rFonts w:cs="Times"/>
                <w:color w:val="000000" w:themeColor="text1"/>
                <w:sz w:val="20"/>
                <w:szCs w:val="20"/>
              </w:rPr>
            </w:pPr>
          </w:p>
          <w:p w14:paraId="1DFAB9F2" w14:textId="021DBA74" w:rsidR="00350228" w:rsidRPr="00C260C6" w:rsidRDefault="00803856" w:rsidP="00694241">
            <w:pPr>
              <w:rPr>
                <w:sz w:val="20"/>
                <w:szCs w:val="20"/>
              </w:rPr>
            </w:pPr>
            <w:r w:rsidRPr="00C260C6">
              <w:rPr>
                <w:color w:val="000000" w:themeColor="text1"/>
                <w:sz w:val="20"/>
                <w:szCs w:val="20"/>
              </w:rPr>
              <w:t>The focus is on practical music making and project work</w:t>
            </w:r>
            <w:r w:rsidR="00694241" w:rsidRPr="00C260C6">
              <w:rPr>
                <w:color w:val="000000" w:themeColor="text1"/>
                <w:sz w:val="20"/>
                <w:szCs w:val="20"/>
              </w:rPr>
              <w:t xml:space="preserve">. While music theory will be taught as part of the course, students’ in-depth knowledge of music theory is not examined. </w:t>
            </w:r>
            <w:r w:rsidRPr="00C260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0228" w:rsidRPr="00C260C6" w14:paraId="5A506B9B" w14:textId="77777777" w:rsidTr="00350228">
        <w:trPr>
          <w:trHeight w:val="3013"/>
        </w:trPr>
        <w:tc>
          <w:tcPr>
            <w:tcW w:w="8976" w:type="dxa"/>
          </w:tcPr>
          <w:p w14:paraId="6FA5FFF7" w14:textId="42A817FD" w:rsidR="00350228" w:rsidRPr="00C260C6" w:rsidRDefault="00350228" w:rsidP="00803856">
            <w:pPr>
              <w:rPr>
                <w:sz w:val="20"/>
                <w:szCs w:val="20"/>
              </w:rPr>
            </w:pPr>
            <w:r w:rsidRPr="00C260C6">
              <w:rPr>
                <w:sz w:val="20"/>
                <w:szCs w:val="20"/>
              </w:rPr>
              <w:t xml:space="preserve">How </w:t>
            </w:r>
            <w:r w:rsidR="00D47CEB" w:rsidRPr="00C260C6">
              <w:rPr>
                <w:sz w:val="20"/>
                <w:szCs w:val="20"/>
              </w:rPr>
              <w:t>is the course</w:t>
            </w:r>
            <w:r w:rsidRPr="00C260C6">
              <w:rPr>
                <w:sz w:val="20"/>
                <w:szCs w:val="20"/>
              </w:rPr>
              <w:t xml:space="preserve"> assessed?</w:t>
            </w:r>
          </w:p>
          <w:p w14:paraId="0825E3B7" w14:textId="77777777" w:rsidR="00CD35A5" w:rsidRPr="00C260C6" w:rsidRDefault="00CD35A5" w:rsidP="00803856">
            <w:pPr>
              <w:rPr>
                <w:sz w:val="20"/>
                <w:szCs w:val="20"/>
              </w:rPr>
            </w:pPr>
          </w:p>
          <w:p w14:paraId="1ECC4E19" w14:textId="6D7C180F" w:rsidR="00803856" w:rsidRPr="00C260C6" w:rsidRDefault="00803856" w:rsidP="008038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260C6">
              <w:rPr>
                <w:color w:val="000000" w:themeColor="text1"/>
                <w:sz w:val="20"/>
                <w:szCs w:val="20"/>
              </w:rPr>
              <w:t xml:space="preserve">This course has 3 Components. </w:t>
            </w:r>
          </w:p>
          <w:p w14:paraId="1EDCD500" w14:textId="77777777" w:rsidR="00803856" w:rsidRPr="00C260C6" w:rsidRDefault="00803856" w:rsidP="008038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85C9CE2" w14:textId="4CB3E5BE" w:rsidR="00803856" w:rsidRPr="00C260C6" w:rsidRDefault="008C1656" w:rsidP="008038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260C6">
              <w:rPr>
                <w:b/>
                <w:color w:val="000000" w:themeColor="text1"/>
                <w:sz w:val="20"/>
                <w:szCs w:val="20"/>
              </w:rPr>
              <w:t>Component</w:t>
            </w:r>
            <w:r w:rsidR="00694241" w:rsidRPr="00C260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260C6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C260C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803856" w:rsidRPr="00C260C6">
              <w:rPr>
                <w:color w:val="000000" w:themeColor="text1"/>
                <w:sz w:val="20"/>
                <w:szCs w:val="20"/>
              </w:rPr>
              <w:t>Exploring Music Products and Styles (30%)</w:t>
            </w:r>
          </w:p>
          <w:p w14:paraId="60222D63" w14:textId="2C819240" w:rsidR="00803856" w:rsidRPr="00C260C6" w:rsidRDefault="008C1656" w:rsidP="0080385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260C6">
              <w:rPr>
                <w:b/>
                <w:color w:val="000000" w:themeColor="text1"/>
                <w:sz w:val="20"/>
                <w:szCs w:val="20"/>
              </w:rPr>
              <w:t>Component 2</w:t>
            </w:r>
            <w:r w:rsidRPr="00C260C6">
              <w:rPr>
                <w:color w:val="000000" w:themeColor="text1"/>
                <w:sz w:val="20"/>
                <w:szCs w:val="20"/>
              </w:rPr>
              <w:t>: Music Skills Development (30%)</w:t>
            </w:r>
          </w:p>
          <w:p w14:paraId="01D46E21" w14:textId="06DE6F9D" w:rsidR="00694241" w:rsidRPr="00C260C6" w:rsidRDefault="00694241" w:rsidP="008038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260C6">
              <w:rPr>
                <w:i/>
                <w:color w:val="000000" w:themeColor="text1"/>
                <w:sz w:val="20"/>
                <w:szCs w:val="20"/>
              </w:rPr>
              <w:t xml:space="preserve">Both components 1 and 2 are both internally assessed assignments. </w:t>
            </w:r>
          </w:p>
          <w:p w14:paraId="45AD0F9D" w14:textId="77777777" w:rsidR="00CD35A5" w:rsidRPr="00C260C6" w:rsidRDefault="00CD35A5" w:rsidP="008038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AC986EB" w14:textId="6313A79E" w:rsidR="00803856" w:rsidRPr="00C260C6" w:rsidRDefault="00803856" w:rsidP="008C1656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C260C6">
              <w:rPr>
                <w:rFonts w:cs="Verdana"/>
                <w:color w:val="000000"/>
                <w:sz w:val="20"/>
                <w:szCs w:val="20"/>
              </w:rPr>
              <w:t xml:space="preserve">Through focused listening </w:t>
            </w:r>
            <w:r w:rsidR="008C1656" w:rsidRPr="00C260C6">
              <w:rPr>
                <w:rFonts w:cs="Verdana"/>
                <w:color w:val="000000"/>
                <w:sz w:val="20"/>
                <w:szCs w:val="20"/>
              </w:rPr>
              <w:t>and music-making activities, you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 xml:space="preserve"> will explore a variety of musical styles and understand the key stylistic features of different genres of music.</w:t>
            </w:r>
            <w:r w:rsidR="00CD35A5" w:rsidRPr="00C260C6">
              <w:rPr>
                <w:rFonts w:cs="Verdana"/>
                <w:color w:val="000000"/>
                <w:sz w:val="20"/>
                <w:szCs w:val="20"/>
              </w:rPr>
              <w:t xml:space="preserve"> The main focus is on popular music styles from the 1960s to the present day but you will also explore othe</w:t>
            </w:r>
            <w:r w:rsidR="00BE3E4E" w:rsidRPr="00C260C6">
              <w:rPr>
                <w:rFonts w:cs="Verdana"/>
                <w:color w:val="000000"/>
                <w:sz w:val="20"/>
                <w:szCs w:val="20"/>
              </w:rPr>
              <w:t>r styles such as Jazz, Blues,</w:t>
            </w:r>
            <w:r w:rsidR="00CD35A5" w:rsidRPr="00C260C6">
              <w:rPr>
                <w:rFonts w:cs="Verdana"/>
                <w:color w:val="000000"/>
                <w:sz w:val="20"/>
                <w:szCs w:val="20"/>
              </w:rPr>
              <w:t xml:space="preserve"> Classical music</w:t>
            </w:r>
            <w:r w:rsidR="00BE3E4E" w:rsidRPr="00C260C6">
              <w:rPr>
                <w:rFonts w:cs="Verdana"/>
                <w:color w:val="000000"/>
                <w:sz w:val="20"/>
                <w:szCs w:val="20"/>
              </w:rPr>
              <w:t xml:space="preserve"> and music from other cultures</w:t>
            </w:r>
            <w:r w:rsidR="00CD35A5" w:rsidRPr="00C260C6">
              <w:rPr>
                <w:rFonts w:cs="Verdana"/>
                <w:color w:val="000000"/>
                <w:sz w:val="20"/>
                <w:szCs w:val="20"/>
              </w:rPr>
              <w:t>.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 xml:space="preserve"> You will apply these stylistic features to performance, composition and music production activities. Through a combination of practical and taught sessions you will investigate how music from a variety of genres is performed, created and produced. </w:t>
            </w:r>
          </w:p>
          <w:p w14:paraId="7664E25F" w14:textId="77777777" w:rsidR="00CD35A5" w:rsidRPr="00C260C6" w:rsidRDefault="00CD35A5" w:rsidP="008C1656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  <w:p w14:paraId="0049CDC0" w14:textId="763E179E" w:rsidR="00803856" w:rsidRPr="00C260C6" w:rsidRDefault="00694241" w:rsidP="00CD35A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C260C6">
              <w:rPr>
                <w:rFonts w:cs="Verdana"/>
                <w:color w:val="000000"/>
                <w:sz w:val="20"/>
                <w:szCs w:val="20"/>
              </w:rPr>
              <w:t>In addition, y</w:t>
            </w:r>
            <w:r w:rsidR="00803856" w:rsidRPr="00C260C6">
              <w:rPr>
                <w:rFonts w:cs="Verdana"/>
                <w:color w:val="000000"/>
                <w:sz w:val="20"/>
                <w:szCs w:val="20"/>
              </w:rPr>
              <w:t>ou will explore personal and professional techniques for musicians and how musicians share their music with others. You will learn to use a variety of methods of evidencing processes and outcomes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>,</w:t>
            </w:r>
            <w:r w:rsidR="00803856" w:rsidRPr="00C260C6">
              <w:rPr>
                <w:rFonts w:cs="Verdana"/>
                <w:color w:val="000000"/>
                <w:sz w:val="20"/>
                <w:szCs w:val="20"/>
              </w:rPr>
              <w:t xml:space="preserve"> and communicating skills development. You will participate in workshops and sessions to identify and develop musical skills and 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>techniques in music performance both</w:t>
            </w:r>
            <w:r w:rsidR="00803856" w:rsidRPr="00C260C6">
              <w:rPr>
                <w:rFonts w:cs="Verdana"/>
                <w:color w:val="000000"/>
                <w:sz w:val="20"/>
                <w:szCs w:val="20"/>
              </w:rPr>
              <w:t xml:space="preserve"> when creating original music, and in music production.</w:t>
            </w:r>
          </w:p>
          <w:p w14:paraId="174D5A04" w14:textId="77777777" w:rsidR="00CD35A5" w:rsidRPr="00C260C6" w:rsidRDefault="00CD35A5" w:rsidP="00CD35A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  <w:p w14:paraId="0D82F68A" w14:textId="14B69EE5" w:rsidR="00CD35A5" w:rsidRPr="00C260C6" w:rsidRDefault="00CD35A5" w:rsidP="00CD35A5">
            <w:pPr>
              <w:widowControl w:val="0"/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  <w:r w:rsidRPr="00C260C6">
              <w:rPr>
                <w:rFonts w:cs="Verdana"/>
                <w:b/>
                <w:color w:val="000000"/>
                <w:sz w:val="20"/>
                <w:szCs w:val="20"/>
              </w:rPr>
              <w:t>Component 3: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 xml:space="preserve"> Responding to a Commercial Brief (40%)</w:t>
            </w:r>
            <w:r w:rsidR="00694241" w:rsidRPr="00C260C6">
              <w:rPr>
                <w:rFonts w:cs="Verdana"/>
                <w:color w:val="000000"/>
                <w:sz w:val="20"/>
                <w:szCs w:val="20"/>
              </w:rPr>
              <w:t xml:space="preserve"> – external assessment of a set task under supervised conditions. </w:t>
            </w:r>
          </w:p>
          <w:p w14:paraId="7438D09D" w14:textId="77777777" w:rsidR="00CD35A5" w:rsidRPr="00C260C6" w:rsidRDefault="00CD35A5" w:rsidP="00CD35A5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</w:p>
          <w:p w14:paraId="0DED0E76" w14:textId="35DA69AE" w:rsidR="00803856" w:rsidRPr="00C260C6" w:rsidRDefault="00803856" w:rsidP="00C260C6">
            <w:pPr>
              <w:jc w:val="both"/>
              <w:rPr>
                <w:sz w:val="20"/>
                <w:szCs w:val="20"/>
              </w:rPr>
            </w:pPr>
            <w:r w:rsidRPr="00C260C6">
              <w:rPr>
                <w:rFonts w:cs="Verdana"/>
                <w:bCs/>
                <w:color w:val="000000"/>
                <w:sz w:val="20"/>
                <w:szCs w:val="20"/>
              </w:rPr>
              <w:t xml:space="preserve">You will learn how to 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>respond to a commercial music brief</w:t>
            </w:r>
            <w:r w:rsidRPr="00C260C6">
              <w:rPr>
                <w:rFonts w:eastAsia="MS Mincho" w:cs="MS Mincho"/>
                <w:color w:val="000000"/>
                <w:sz w:val="20"/>
                <w:szCs w:val="20"/>
              </w:rPr>
              <w:t>, by s</w:t>
            </w:r>
            <w:r w:rsidRPr="00C260C6">
              <w:rPr>
                <w:rFonts w:cs="Verdana"/>
                <w:color w:val="000000"/>
                <w:sz w:val="20"/>
                <w:szCs w:val="20"/>
              </w:rPr>
              <w:t>electing and applying musical skills in response to a brief, presenting a final musical product, and commenting on the creative process and outcome.</w:t>
            </w:r>
          </w:p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77777777" w:rsidR="00350228" w:rsidRPr="001A0C6E" w:rsidRDefault="00350228" w:rsidP="00803856">
            <w:r w:rsidRPr="001A0C6E">
              <w:t>Which careers/ post 16 courses will this course help me to prepare for?</w:t>
            </w:r>
          </w:p>
          <w:p w14:paraId="7D6D603C" w14:textId="77777777" w:rsidR="00005158" w:rsidRDefault="00005158" w:rsidP="00803856"/>
          <w:p w14:paraId="2DC4EEF0" w14:textId="4BEC834D" w:rsidR="00005158" w:rsidRDefault="00005158" w:rsidP="00803856">
            <w:pPr>
              <w:rPr>
                <w:rFonts w:cs="Times"/>
                <w:color w:val="000000" w:themeColor="text1"/>
              </w:rPr>
            </w:pPr>
            <w:r w:rsidRPr="00005158">
              <w:rPr>
                <w:rFonts w:cs="Times"/>
                <w:color w:val="000000" w:themeColor="text1"/>
              </w:rPr>
              <w:t>The BTEC Music Qualification allows you to progress to</w:t>
            </w:r>
            <w:r>
              <w:rPr>
                <w:rFonts w:cs="Times"/>
                <w:color w:val="000000" w:themeColor="text1"/>
              </w:rPr>
              <w:t>:</w:t>
            </w:r>
            <w:r w:rsidRPr="00005158">
              <w:rPr>
                <w:rFonts w:cs="Times"/>
                <w:color w:val="000000" w:themeColor="text1"/>
              </w:rPr>
              <w:t xml:space="preserve"> Level 3 RSL and BTEC courses</w:t>
            </w:r>
            <w:r>
              <w:rPr>
                <w:rFonts w:cs="Times"/>
                <w:color w:val="000000" w:themeColor="text1"/>
              </w:rPr>
              <w:t>;</w:t>
            </w:r>
            <w:r w:rsidRPr="00005158">
              <w:rPr>
                <w:rFonts w:cs="Times"/>
                <w:color w:val="000000" w:themeColor="text1"/>
              </w:rPr>
              <w:t xml:space="preserve"> A Level Mus</w:t>
            </w:r>
            <w:r w:rsidR="00DF3FBB">
              <w:rPr>
                <w:rFonts w:cs="Times"/>
                <w:color w:val="000000" w:themeColor="text1"/>
              </w:rPr>
              <w:t>ic and Music Technology courses</w:t>
            </w:r>
            <w:r w:rsidRPr="00005158">
              <w:rPr>
                <w:rFonts w:cs="Times"/>
                <w:color w:val="000000" w:themeColor="text1"/>
              </w:rPr>
              <w:t xml:space="preserve"> and higher education courses such as degrees in Music, Popular Music, Music Technology and Music Business.</w:t>
            </w:r>
          </w:p>
          <w:p w14:paraId="1C1F9784" w14:textId="77777777" w:rsidR="00005158" w:rsidRPr="00005158" w:rsidRDefault="00005158" w:rsidP="00803856"/>
          <w:p w14:paraId="2229501F" w14:textId="029AA033" w:rsidR="00005158" w:rsidRPr="001A0C6E" w:rsidRDefault="00CF6F22" w:rsidP="00CF6F22">
            <w:r>
              <w:rPr>
                <w:color w:val="000000" w:themeColor="text1"/>
              </w:rPr>
              <w:t>Potential</w:t>
            </w:r>
            <w:r w:rsidRPr="00005158">
              <w:rPr>
                <w:color w:val="000000" w:themeColor="text1"/>
              </w:rPr>
              <w:t xml:space="preserve"> career</w:t>
            </w:r>
            <w:r>
              <w:rPr>
                <w:color w:val="000000" w:themeColor="text1"/>
              </w:rPr>
              <w:t>s</w:t>
            </w:r>
            <w:r w:rsidRPr="00005158">
              <w:rPr>
                <w:color w:val="000000" w:themeColor="text1"/>
              </w:rPr>
              <w:t xml:space="preserve"> in</w:t>
            </w:r>
            <w:r>
              <w:rPr>
                <w:color w:val="000000" w:themeColor="text1"/>
              </w:rPr>
              <w:t>clude</w:t>
            </w:r>
            <w:r w:rsidRPr="00005158">
              <w:rPr>
                <w:color w:val="000000" w:themeColor="text1"/>
              </w:rPr>
              <w:t xml:space="preserve"> </w:t>
            </w:r>
            <w:r>
              <w:rPr>
                <w:rFonts w:cs="Times"/>
                <w:color w:val="000000" w:themeColor="text1"/>
              </w:rPr>
              <w:t>pe</w:t>
            </w:r>
            <w:r w:rsidRPr="00005158">
              <w:rPr>
                <w:rFonts w:cs="Times"/>
                <w:color w:val="000000" w:themeColor="text1"/>
              </w:rPr>
              <w:t>rformance</w:t>
            </w:r>
            <w:r>
              <w:rPr>
                <w:rFonts w:cs="Times"/>
                <w:color w:val="000000" w:themeColor="text1"/>
              </w:rPr>
              <w:t xml:space="preserve">, recording, music production, sound engineer, </w:t>
            </w:r>
            <w:r w:rsidRPr="00005158">
              <w:rPr>
                <w:rFonts w:cs="Times"/>
                <w:color w:val="000000" w:themeColor="text1"/>
              </w:rPr>
              <w:t>music business</w:t>
            </w:r>
            <w:r>
              <w:rPr>
                <w:rFonts w:cs="Times"/>
                <w:color w:val="000000" w:themeColor="text1"/>
              </w:rPr>
              <w:t>, band management, music journalism, music therapy,</w:t>
            </w:r>
            <w:r w:rsidRPr="00005158">
              <w:rPr>
                <w:rFonts w:cs="Times"/>
                <w:color w:val="000000" w:themeColor="text1"/>
              </w:rPr>
              <w:t xml:space="preserve"> teaching </w:t>
            </w:r>
            <w:r>
              <w:rPr>
                <w:rFonts w:cs="Times"/>
                <w:color w:val="000000" w:themeColor="text1"/>
              </w:rPr>
              <w:t>in addition to many more</w:t>
            </w:r>
            <w:r w:rsidRPr="00005158">
              <w:rPr>
                <w:rFonts w:cs="Times"/>
                <w:color w:val="000000" w:themeColor="text1"/>
              </w:rPr>
              <w:t>.</w:t>
            </w:r>
          </w:p>
        </w:tc>
      </w:tr>
    </w:tbl>
    <w:p w14:paraId="14309459" w14:textId="527BB385" w:rsidR="00803856" w:rsidRPr="001A0C6E" w:rsidRDefault="002F1E4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A2C5A4" wp14:editId="34E19065">
                <wp:simplePos x="0" y="0"/>
                <wp:positionH relativeFrom="column">
                  <wp:posOffset>9772660</wp:posOffset>
                </wp:positionH>
                <wp:positionV relativeFrom="paragraph">
                  <wp:posOffset>-7817390</wp:posOffset>
                </wp:positionV>
                <wp:extent cx="43920" cy="5400"/>
                <wp:effectExtent l="38100" t="38100" r="70485" b="711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9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7A4A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68.1pt;margin-top:-616.95pt;width:6.25pt;height: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">
                <v:imagedata r:id="rId8" o:title=""/>
              </v:shape>
            </w:pict>
          </mc:Fallback>
        </mc:AlternateContent>
      </w:r>
    </w:p>
    <w:p w14:paraId="3BA7500B" w14:textId="788B1DAE" w:rsidR="001A0C6E" w:rsidRPr="001A0C6E" w:rsidRDefault="001A0C6E"/>
    <w:sectPr w:rsidR="001A0C6E" w:rsidRPr="001A0C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0D54" w14:textId="77777777" w:rsidR="004B68DC" w:rsidRDefault="004B68DC" w:rsidP="000B117C">
      <w:pPr>
        <w:spacing w:after="0" w:line="240" w:lineRule="auto"/>
      </w:pPr>
      <w:r>
        <w:separator/>
      </w:r>
    </w:p>
  </w:endnote>
  <w:endnote w:type="continuationSeparator" w:id="0">
    <w:p w14:paraId="2C2B2F25" w14:textId="77777777" w:rsidR="004B68DC" w:rsidRDefault="004B68DC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F3AA" w14:textId="77777777" w:rsidR="004B68DC" w:rsidRDefault="004B68DC" w:rsidP="000B117C">
      <w:pPr>
        <w:spacing w:after="0" w:line="240" w:lineRule="auto"/>
      </w:pPr>
      <w:r>
        <w:separator/>
      </w:r>
    </w:p>
  </w:footnote>
  <w:footnote w:type="continuationSeparator" w:id="0">
    <w:p w14:paraId="733115AA" w14:textId="77777777" w:rsidR="004B68DC" w:rsidRDefault="004B68DC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FD9D" w14:textId="317A2496" w:rsidR="00C260C6" w:rsidRDefault="00C260C6" w:rsidP="00C260C6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9EFA9" wp14:editId="46621342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2" name="Picture 2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4F8D33FF" w14:textId="77777777" w:rsidR="00C260C6" w:rsidRDefault="00C260C6" w:rsidP="00C260C6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7B76BE68" w14:textId="77777777" w:rsidR="00C260C6" w:rsidRDefault="00C2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3CB"/>
    <w:multiLevelType w:val="hybridMultilevel"/>
    <w:tmpl w:val="E3A01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453E"/>
    <w:multiLevelType w:val="hybridMultilevel"/>
    <w:tmpl w:val="30C20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05158"/>
    <w:rsid w:val="00027212"/>
    <w:rsid w:val="000B117C"/>
    <w:rsid w:val="000B445E"/>
    <w:rsid w:val="00166341"/>
    <w:rsid w:val="001A0C6E"/>
    <w:rsid w:val="002C772B"/>
    <w:rsid w:val="002F1E4D"/>
    <w:rsid w:val="003324E1"/>
    <w:rsid w:val="00350228"/>
    <w:rsid w:val="003D20EE"/>
    <w:rsid w:val="00442FA2"/>
    <w:rsid w:val="004B68DC"/>
    <w:rsid w:val="004D6804"/>
    <w:rsid w:val="005170E6"/>
    <w:rsid w:val="00642D0D"/>
    <w:rsid w:val="00694241"/>
    <w:rsid w:val="007B67EF"/>
    <w:rsid w:val="00803856"/>
    <w:rsid w:val="008A0F4F"/>
    <w:rsid w:val="008C1656"/>
    <w:rsid w:val="008C5051"/>
    <w:rsid w:val="008C7EAB"/>
    <w:rsid w:val="009D5617"/>
    <w:rsid w:val="00AE6BD6"/>
    <w:rsid w:val="00BE1120"/>
    <w:rsid w:val="00BE3E4E"/>
    <w:rsid w:val="00C260C6"/>
    <w:rsid w:val="00CD35A5"/>
    <w:rsid w:val="00CE2839"/>
    <w:rsid w:val="00CF6F22"/>
    <w:rsid w:val="00D47CEB"/>
    <w:rsid w:val="00DF3FBB"/>
    <w:rsid w:val="00E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3B343975"/>
  <w15:docId w15:val="{8126C85F-DC5B-49F1-9EC6-32D4330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16:16:13.71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0 0 128,'13'0'0,"4"3"1600,-9-3-672,5 0-32,-5-3-576,0 3-256,5 0-384,-1 3-192,1 1-448,4 3-192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4</cp:revision>
  <dcterms:created xsi:type="dcterms:W3CDTF">2019-02-27T10:14:00Z</dcterms:created>
  <dcterms:modified xsi:type="dcterms:W3CDTF">2019-02-28T09:27:00Z</dcterms:modified>
</cp:coreProperties>
</file>